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4C" w:rsidRDefault="00BD7F4C" w:rsidP="00BD7F4C">
      <w:pPr>
        <w:rPr>
          <w:lang w:val="uk-UA"/>
        </w:rPr>
      </w:pPr>
    </w:p>
    <w:p w:rsidR="00BD7F4C" w:rsidRDefault="00BD7F4C" w:rsidP="00BD7F4C">
      <w:pPr>
        <w:rPr>
          <w:lang w:val="uk-UA"/>
        </w:rPr>
      </w:pPr>
      <w:r>
        <w:rPr>
          <w:noProof/>
        </w:rPr>
        <w:drawing>
          <wp:anchor distT="0" distB="0" distL="114300" distR="114300" simplePos="0" relativeHeight="251659264" behindDoc="1" locked="0" layoutInCell="1" allowOverlap="1" wp14:anchorId="366EACDC" wp14:editId="4EEA5182">
            <wp:simplePos x="0" y="0"/>
            <wp:positionH relativeFrom="column">
              <wp:posOffset>289560</wp:posOffset>
            </wp:positionH>
            <wp:positionV relativeFrom="paragraph">
              <wp:posOffset>-107950</wp:posOffset>
            </wp:positionV>
            <wp:extent cx="6086475" cy="1245235"/>
            <wp:effectExtent l="0" t="0" r="9525" b="0"/>
            <wp:wrapNone/>
            <wp:docPr id="5" name="Рисунок 5" descr="blank_ve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nk_ver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475" cy="1245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F4C" w:rsidRDefault="00BD7F4C" w:rsidP="00BD7F4C">
      <w:pPr>
        <w:rPr>
          <w:lang w:val="uk-UA"/>
        </w:rPr>
      </w:pPr>
    </w:p>
    <w:p w:rsidR="00BD7F4C" w:rsidRDefault="00BD7F4C" w:rsidP="00BD7F4C">
      <w:pPr>
        <w:rPr>
          <w:lang w:val="uk-UA"/>
        </w:rPr>
      </w:pPr>
    </w:p>
    <w:p w:rsidR="00BD7F4C" w:rsidRDefault="00BD7F4C" w:rsidP="00BD7F4C">
      <w:pPr>
        <w:rPr>
          <w:lang w:val="uk-UA"/>
        </w:rPr>
      </w:pPr>
    </w:p>
    <w:p w:rsidR="00BD7F4C" w:rsidRDefault="00BD7F4C" w:rsidP="00BD7F4C">
      <w:pPr>
        <w:rPr>
          <w:lang w:val="uk-UA"/>
        </w:rPr>
      </w:pPr>
    </w:p>
    <w:p w:rsidR="00BD7F4C" w:rsidRPr="003B7182" w:rsidRDefault="00BD7F4C" w:rsidP="00BD7F4C">
      <w:pPr>
        <w:ind w:firstLine="708"/>
        <w:rPr>
          <w:lang w:val="uk-UA"/>
        </w:rPr>
      </w:pPr>
      <w:r w:rsidRPr="003B7182">
        <w:rPr>
          <w:lang w:val="uk-UA"/>
        </w:rPr>
        <w:t>Код ЄДРПОУ 37024556</w:t>
      </w:r>
    </w:p>
    <w:p w:rsidR="00BD7F4C" w:rsidRPr="003B7182" w:rsidRDefault="00BD7F4C" w:rsidP="00BD7F4C">
      <w:pPr>
        <w:ind w:left="-540" w:firstLine="1260"/>
        <w:rPr>
          <w:lang w:val="uk-UA"/>
        </w:rPr>
      </w:pPr>
      <w:r w:rsidRPr="003B7182">
        <w:rPr>
          <w:lang w:val="uk-UA"/>
        </w:rPr>
        <w:t xml:space="preserve">03179 м. Київ, вул. </w:t>
      </w:r>
      <w:r>
        <w:rPr>
          <w:lang w:val="uk-UA"/>
        </w:rPr>
        <w:t>Єфремова</w:t>
      </w:r>
      <w:r w:rsidRPr="003B7182">
        <w:rPr>
          <w:lang w:val="uk-UA"/>
        </w:rPr>
        <w:t xml:space="preserve">, 9 кв. 5 </w:t>
      </w:r>
    </w:p>
    <w:p w:rsidR="00BD7F4C" w:rsidRPr="003B7182" w:rsidRDefault="00BD7F4C" w:rsidP="00BD7F4C">
      <w:pPr>
        <w:ind w:left="-540" w:firstLine="1260"/>
        <w:rPr>
          <w:lang w:val="uk-UA"/>
        </w:rPr>
      </w:pPr>
      <w:r w:rsidRPr="003B7182">
        <w:rPr>
          <w:lang w:val="uk-UA"/>
        </w:rPr>
        <w:t>тел. +38 (050) 384 5758</w:t>
      </w:r>
    </w:p>
    <w:p w:rsidR="00BD7F4C" w:rsidRDefault="00BD7F4C" w:rsidP="00BD7F4C">
      <w:pPr>
        <w:pStyle w:val="6"/>
        <w:tabs>
          <w:tab w:val="left" w:pos="0"/>
        </w:tabs>
        <w:spacing w:before="0" w:after="0"/>
        <w:rPr>
          <w:bCs w:val="0"/>
          <w:sz w:val="24"/>
          <w:szCs w:val="24"/>
          <w:lang w:val="uk-UA"/>
        </w:rPr>
      </w:pPr>
      <w:r>
        <w:rPr>
          <w:noProof/>
        </w:rPr>
        <mc:AlternateContent>
          <mc:Choice Requires="wps">
            <w:drawing>
              <wp:anchor distT="0" distB="0" distL="114300" distR="114300" simplePos="0" relativeHeight="251661312" behindDoc="0" locked="0" layoutInCell="1" allowOverlap="1" wp14:anchorId="6F248963" wp14:editId="67B78822">
                <wp:simplePos x="0" y="0"/>
                <wp:positionH relativeFrom="column">
                  <wp:posOffset>289560</wp:posOffset>
                </wp:positionH>
                <wp:positionV relativeFrom="paragraph">
                  <wp:posOffset>194945</wp:posOffset>
                </wp:positionV>
                <wp:extent cx="5982335" cy="63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635"/>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2.8pt;margin-top:15.35pt;width:471.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" strokecolor="#00b050" strokeweight="1.5pt"/>
            </w:pict>
          </mc:Fallback>
        </mc:AlternateContent>
      </w:r>
    </w:p>
    <w:p w:rsidR="00BD7F4C" w:rsidRDefault="00BD7F4C" w:rsidP="00DA67E2">
      <w:pPr>
        <w:pStyle w:val="6"/>
        <w:tabs>
          <w:tab w:val="left" w:pos="0"/>
        </w:tabs>
        <w:spacing w:before="0" w:after="0"/>
        <w:jc w:val="center"/>
        <w:rPr>
          <w:bCs w:val="0"/>
          <w:sz w:val="24"/>
          <w:szCs w:val="24"/>
          <w:lang w:val="uk-UA"/>
        </w:rPr>
      </w:pPr>
    </w:p>
    <w:p w:rsidR="006B404A" w:rsidRPr="00444B9C" w:rsidRDefault="00DB2E50" w:rsidP="00DA67E2">
      <w:pPr>
        <w:pStyle w:val="6"/>
        <w:tabs>
          <w:tab w:val="left" w:pos="0"/>
        </w:tabs>
        <w:spacing w:before="0" w:after="0"/>
        <w:jc w:val="center"/>
        <w:rPr>
          <w:bCs w:val="0"/>
          <w:sz w:val="24"/>
          <w:szCs w:val="24"/>
          <w:lang w:val="uk-UA"/>
        </w:rPr>
      </w:pPr>
      <w:r w:rsidRPr="00444B9C">
        <w:rPr>
          <w:bCs w:val="0"/>
          <w:sz w:val="24"/>
          <w:szCs w:val="24"/>
          <w:lang w:val="uk-UA"/>
        </w:rPr>
        <w:t xml:space="preserve">АУДИТОРСЬКИЙ ВИСНОВОК </w:t>
      </w:r>
    </w:p>
    <w:p w:rsidR="00DB2E50" w:rsidRPr="00444B9C" w:rsidRDefault="00DB2E50" w:rsidP="00DA67E2">
      <w:pPr>
        <w:pStyle w:val="6"/>
        <w:tabs>
          <w:tab w:val="left" w:pos="0"/>
        </w:tabs>
        <w:spacing w:before="0" w:after="0"/>
        <w:jc w:val="center"/>
        <w:rPr>
          <w:sz w:val="24"/>
          <w:szCs w:val="24"/>
          <w:lang w:val="uk-UA"/>
        </w:rPr>
      </w:pPr>
      <w:r w:rsidRPr="00444B9C">
        <w:rPr>
          <w:bCs w:val="0"/>
          <w:sz w:val="24"/>
          <w:szCs w:val="24"/>
          <w:lang w:val="uk-UA"/>
        </w:rPr>
        <w:t>(</w:t>
      </w:r>
      <w:r w:rsidRPr="00444B9C">
        <w:rPr>
          <w:sz w:val="24"/>
          <w:szCs w:val="24"/>
          <w:lang w:val="uk-UA"/>
        </w:rPr>
        <w:t>ЗВІТ НЕЗАЛЕЖНОГО АУДИТОРА</w:t>
      </w:r>
      <w:r w:rsidRPr="00444B9C">
        <w:rPr>
          <w:bCs w:val="0"/>
          <w:sz w:val="24"/>
          <w:szCs w:val="24"/>
          <w:lang w:val="uk-UA"/>
        </w:rPr>
        <w:t xml:space="preserve"> )</w:t>
      </w:r>
    </w:p>
    <w:p w:rsidR="009C74B4" w:rsidRPr="00444B9C" w:rsidRDefault="00EE1018" w:rsidP="00DA67E2">
      <w:pPr>
        <w:tabs>
          <w:tab w:val="left" w:pos="0"/>
        </w:tabs>
        <w:jc w:val="center"/>
        <w:rPr>
          <w:lang w:val="uk-UA"/>
        </w:rPr>
      </w:pPr>
      <w:r>
        <w:rPr>
          <w:lang w:val="uk-UA"/>
        </w:rPr>
        <w:t>щодо фінансової звітності</w:t>
      </w:r>
    </w:p>
    <w:p w:rsidR="006B404A" w:rsidRPr="00444B9C" w:rsidRDefault="009C74B4" w:rsidP="00DA67E2">
      <w:pPr>
        <w:tabs>
          <w:tab w:val="left" w:pos="0"/>
        </w:tabs>
        <w:jc w:val="center"/>
        <w:rPr>
          <w:b/>
          <w:lang w:val="uk-UA"/>
        </w:rPr>
      </w:pPr>
      <w:r w:rsidRPr="00444B9C">
        <w:rPr>
          <w:lang w:val="uk-UA"/>
        </w:rPr>
        <w:t>Товариства з обмеженою відповідальністю</w:t>
      </w:r>
    </w:p>
    <w:p w:rsidR="006B404A" w:rsidRPr="00444B9C" w:rsidRDefault="000C5FEC" w:rsidP="009C74B4">
      <w:pPr>
        <w:tabs>
          <w:tab w:val="left" w:pos="0"/>
        </w:tabs>
        <w:spacing w:line="360" w:lineRule="auto"/>
        <w:jc w:val="center"/>
        <w:rPr>
          <w:b/>
          <w:lang w:val="uk-UA"/>
        </w:rPr>
      </w:pPr>
      <w:r>
        <w:rPr>
          <w:b/>
          <w:lang w:val="uk-UA"/>
        </w:rPr>
        <w:t>«ФІНАНСОВА КОМПАНІЯ</w:t>
      </w:r>
      <w:r w:rsidR="006B404A" w:rsidRPr="00444B9C">
        <w:rPr>
          <w:b/>
          <w:lang w:val="uk-UA"/>
        </w:rPr>
        <w:t xml:space="preserve"> «</w:t>
      </w:r>
      <w:r w:rsidR="00F92D8E">
        <w:rPr>
          <w:b/>
          <w:lang w:val="uk-UA"/>
        </w:rPr>
        <w:t>ТОЛОК</w:t>
      </w:r>
      <w:r>
        <w:rPr>
          <w:b/>
          <w:lang w:val="uk-UA"/>
        </w:rPr>
        <w:t>А</w:t>
      </w:r>
      <w:r w:rsidR="006B404A" w:rsidRPr="00444B9C">
        <w:rPr>
          <w:b/>
          <w:lang w:val="uk-UA"/>
        </w:rPr>
        <w:t>»</w:t>
      </w:r>
    </w:p>
    <w:p w:rsidR="00DB2E50" w:rsidRPr="00444B9C" w:rsidRDefault="006B404A" w:rsidP="009C0AA4">
      <w:pPr>
        <w:shd w:val="clear" w:color="auto" w:fill="FFFFFF"/>
        <w:tabs>
          <w:tab w:val="left" w:pos="0"/>
        </w:tabs>
        <w:jc w:val="center"/>
        <w:rPr>
          <w:b/>
          <w:lang w:val="uk-UA"/>
        </w:rPr>
      </w:pPr>
      <w:r w:rsidRPr="00444B9C">
        <w:rPr>
          <w:b/>
          <w:lang w:val="uk-UA"/>
        </w:rPr>
        <w:t>за 2016 рік</w:t>
      </w:r>
    </w:p>
    <w:p w:rsidR="00DB2E50" w:rsidRPr="00444B9C" w:rsidRDefault="00DB2E50" w:rsidP="00DA67E2">
      <w:pPr>
        <w:widowControl w:val="0"/>
        <w:shd w:val="clear" w:color="auto" w:fill="FFFFFF"/>
        <w:tabs>
          <w:tab w:val="left" w:pos="0"/>
          <w:tab w:val="left" w:pos="883"/>
        </w:tabs>
        <w:autoSpaceDE w:val="0"/>
        <w:autoSpaceDN w:val="0"/>
        <w:adjustRightInd w:val="0"/>
        <w:spacing w:line="302" w:lineRule="exact"/>
        <w:rPr>
          <w:b/>
          <w:i/>
          <w:iCs/>
          <w:lang w:val="uk-UA"/>
        </w:rPr>
      </w:pPr>
    </w:p>
    <w:p w:rsidR="006B404A" w:rsidRPr="00444B9C" w:rsidRDefault="00DB2E50" w:rsidP="00DA67E2">
      <w:pPr>
        <w:shd w:val="clear" w:color="auto" w:fill="FFFFFF"/>
        <w:tabs>
          <w:tab w:val="left" w:pos="0"/>
        </w:tabs>
        <w:rPr>
          <w:i/>
          <w:lang w:val="uk-UA"/>
        </w:rPr>
      </w:pPr>
      <w:r w:rsidRPr="00444B9C">
        <w:rPr>
          <w:i/>
          <w:iCs/>
          <w:lang w:val="uk-UA"/>
        </w:rPr>
        <w:t xml:space="preserve">Керівництву </w:t>
      </w:r>
      <w:r w:rsidR="006B404A" w:rsidRPr="00444B9C">
        <w:rPr>
          <w:rFonts w:eastAsia="Calibri"/>
          <w:i/>
          <w:lang w:val="uk-UA"/>
        </w:rPr>
        <w:t xml:space="preserve"> </w:t>
      </w:r>
      <w:r w:rsidR="009C74B4" w:rsidRPr="00444B9C">
        <w:rPr>
          <w:rFonts w:eastAsia="Calibri"/>
          <w:i/>
          <w:lang w:val="uk-UA"/>
        </w:rPr>
        <w:t xml:space="preserve">ТОВ </w:t>
      </w:r>
      <w:r w:rsidR="000C5FEC">
        <w:rPr>
          <w:rFonts w:eastAsia="Calibri"/>
          <w:i/>
          <w:lang w:val="uk-UA"/>
        </w:rPr>
        <w:t xml:space="preserve">«ФК </w:t>
      </w:r>
      <w:r w:rsidR="006B404A" w:rsidRPr="00444B9C">
        <w:rPr>
          <w:rFonts w:eastAsia="Calibri"/>
          <w:i/>
          <w:lang w:val="uk-UA"/>
        </w:rPr>
        <w:t>«</w:t>
      </w:r>
      <w:r w:rsidR="00F92D8E">
        <w:rPr>
          <w:rFonts w:eastAsia="Calibri"/>
          <w:i/>
          <w:lang w:val="uk-UA"/>
        </w:rPr>
        <w:t>ТОЛОКА</w:t>
      </w:r>
      <w:r w:rsidR="006B404A" w:rsidRPr="00444B9C">
        <w:rPr>
          <w:rFonts w:eastAsia="Calibri"/>
          <w:i/>
          <w:lang w:val="uk-UA"/>
        </w:rPr>
        <w:t>»</w:t>
      </w:r>
    </w:p>
    <w:p w:rsidR="00A4366E" w:rsidRPr="00444B9C" w:rsidRDefault="00DB2E50" w:rsidP="00DA67E2">
      <w:pPr>
        <w:shd w:val="clear" w:color="auto" w:fill="FFFFFF"/>
        <w:tabs>
          <w:tab w:val="left" w:pos="0"/>
        </w:tabs>
        <w:rPr>
          <w:i/>
          <w:lang w:val="uk-UA"/>
        </w:rPr>
      </w:pPr>
      <w:r w:rsidRPr="00444B9C">
        <w:rPr>
          <w:i/>
          <w:color w:val="000000"/>
          <w:shd w:val="clear" w:color="auto" w:fill="FFFFFF"/>
          <w:lang w:val="uk-UA"/>
        </w:rPr>
        <w:t xml:space="preserve">Національній Комісії, що здійснює державне регулювання у сфері </w:t>
      </w:r>
    </w:p>
    <w:p w:rsidR="00DB2E50" w:rsidRPr="00444B9C" w:rsidRDefault="00DB2E50" w:rsidP="00DA67E2">
      <w:pPr>
        <w:shd w:val="clear" w:color="auto" w:fill="FFFFFF"/>
        <w:tabs>
          <w:tab w:val="left" w:pos="0"/>
        </w:tabs>
        <w:rPr>
          <w:i/>
          <w:lang w:val="uk-UA"/>
        </w:rPr>
      </w:pPr>
      <w:r w:rsidRPr="00444B9C">
        <w:rPr>
          <w:i/>
          <w:color w:val="000000"/>
          <w:shd w:val="clear" w:color="auto" w:fill="FFFFFF"/>
          <w:lang w:val="uk-UA"/>
        </w:rPr>
        <w:t>ринків фінансових послуг</w:t>
      </w:r>
    </w:p>
    <w:p w:rsidR="00DB2E50" w:rsidRPr="00444B9C" w:rsidRDefault="00DB2E50" w:rsidP="00DA67E2">
      <w:pPr>
        <w:widowControl w:val="0"/>
        <w:shd w:val="clear" w:color="auto" w:fill="FFFFFF"/>
        <w:tabs>
          <w:tab w:val="left" w:pos="0"/>
          <w:tab w:val="left" w:pos="883"/>
        </w:tabs>
        <w:autoSpaceDE w:val="0"/>
        <w:autoSpaceDN w:val="0"/>
        <w:adjustRightInd w:val="0"/>
        <w:spacing w:line="302" w:lineRule="exact"/>
        <w:rPr>
          <w:b/>
          <w:i/>
          <w:iCs/>
          <w:lang w:val="uk-UA"/>
        </w:rPr>
      </w:pPr>
    </w:p>
    <w:p w:rsidR="00DB2E50" w:rsidRPr="00444B9C" w:rsidRDefault="00DB2E50" w:rsidP="002F3AD3">
      <w:pPr>
        <w:widowControl w:val="0"/>
        <w:shd w:val="clear" w:color="auto" w:fill="FFFFFF"/>
        <w:tabs>
          <w:tab w:val="left" w:pos="0"/>
          <w:tab w:val="left" w:pos="883"/>
        </w:tabs>
        <w:autoSpaceDE w:val="0"/>
        <w:autoSpaceDN w:val="0"/>
        <w:adjustRightInd w:val="0"/>
        <w:jc w:val="center"/>
        <w:rPr>
          <w:b/>
          <w:iCs/>
          <w:lang w:val="uk-UA"/>
        </w:rPr>
      </w:pPr>
      <w:r w:rsidRPr="00444B9C">
        <w:rPr>
          <w:b/>
          <w:bCs/>
          <w:lang w:val="uk-UA"/>
        </w:rPr>
        <w:t>Розділ 1.Звіт щодо фінансової звітності</w:t>
      </w:r>
      <w:r w:rsidRPr="00444B9C">
        <w:rPr>
          <w:b/>
          <w:color w:val="000000"/>
          <w:spacing w:val="-11"/>
          <w:lang w:val="uk-UA"/>
        </w:rPr>
        <w:t xml:space="preserve">  </w:t>
      </w:r>
    </w:p>
    <w:p w:rsidR="00DB2E50" w:rsidRPr="00444B9C" w:rsidRDefault="00DB2E50" w:rsidP="00DA67E2">
      <w:pPr>
        <w:widowControl w:val="0"/>
        <w:shd w:val="clear" w:color="auto" w:fill="FFFFFF"/>
        <w:tabs>
          <w:tab w:val="left" w:pos="0"/>
          <w:tab w:val="left" w:pos="883"/>
        </w:tabs>
        <w:autoSpaceDE w:val="0"/>
        <w:autoSpaceDN w:val="0"/>
        <w:adjustRightInd w:val="0"/>
        <w:jc w:val="both"/>
        <w:rPr>
          <w:b/>
          <w:i/>
          <w:iCs/>
          <w:lang w:val="uk-UA"/>
        </w:rPr>
      </w:pPr>
      <w:r w:rsidRPr="00444B9C">
        <w:rPr>
          <w:b/>
          <w:i/>
          <w:iCs/>
          <w:lang w:val="uk-UA"/>
        </w:rPr>
        <w:tab/>
      </w:r>
    </w:p>
    <w:p w:rsidR="007522F2" w:rsidRPr="00444B9C" w:rsidRDefault="00D6670E" w:rsidP="00DA67E2">
      <w:pPr>
        <w:widowControl w:val="0"/>
        <w:shd w:val="clear" w:color="auto" w:fill="FFFFFF"/>
        <w:tabs>
          <w:tab w:val="left" w:pos="0"/>
          <w:tab w:val="left" w:pos="883"/>
        </w:tabs>
        <w:autoSpaceDE w:val="0"/>
        <w:autoSpaceDN w:val="0"/>
        <w:adjustRightInd w:val="0"/>
        <w:jc w:val="both"/>
        <w:rPr>
          <w:b/>
          <w:i/>
          <w:iCs/>
          <w:lang w:val="uk-UA"/>
        </w:rPr>
      </w:pPr>
      <w:r w:rsidRPr="00444B9C">
        <w:rPr>
          <w:b/>
          <w:i/>
          <w:iCs/>
          <w:lang w:val="uk-UA"/>
        </w:rPr>
        <w:t>Вступний параграф</w:t>
      </w:r>
    </w:p>
    <w:p w:rsidR="00DB2E50" w:rsidRPr="00444B9C" w:rsidRDefault="00DB2E50" w:rsidP="009C74B4">
      <w:pPr>
        <w:tabs>
          <w:tab w:val="left" w:pos="0"/>
        </w:tabs>
        <w:jc w:val="both"/>
        <w:rPr>
          <w:b/>
          <w:lang w:val="uk-UA"/>
        </w:rPr>
      </w:pPr>
      <w:r w:rsidRPr="00444B9C">
        <w:rPr>
          <w:lang w:val="uk-UA"/>
        </w:rPr>
        <w:t xml:space="preserve">Нами була проведена аудиторська перевірка фінансової звітності </w:t>
      </w:r>
      <w:r w:rsidR="00AD3351" w:rsidRPr="00444B9C">
        <w:rPr>
          <w:lang w:val="uk-UA"/>
        </w:rPr>
        <w:t xml:space="preserve"> </w:t>
      </w:r>
      <w:r w:rsidR="009C74B4" w:rsidRPr="00444B9C">
        <w:rPr>
          <w:lang w:val="uk-UA"/>
        </w:rPr>
        <w:t>Товариства з обмеженою відповідальністю</w:t>
      </w:r>
      <w:r w:rsidR="009C74B4" w:rsidRPr="00444B9C">
        <w:rPr>
          <w:b/>
          <w:lang w:val="uk-UA"/>
        </w:rPr>
        <w:t xml:space="preserve"> </w:t>
      </w:r>
      <w:r w:rsidR="000C5FEC">
        <w:rPr>
          <w:b/>
          <w:lang w:val="uk-UA"/>
        </w:rPr>
        <w:t xml:space="preserve">«ФІНАНСОВА КОМПАНІЯ </w:t>
      </w:r>
      <w:r w:rsidR="009C74B4" w:rsidRPr="00444B9C">
        <w:rPr>
          <w:b/>
          <w:lang w:val="uk-UA"/>
        </w:rPr>
        <w:t>«</w:t>
      </w:r>
      <w:r w:rsidR="00F92D8E">
        <w:rPr>
          <w:b/>
          <w:lang w:val="uk-UA"/>
        </w:rPr>
        <w:t>ТОЛОКА</w:t>
      </w:r>
      <w:r w:rsidR="009C74B4" w:rsidRPr="00444B9C">
        <w:rPr>
          <w:b/>
          <w:lang w:val="uk-UA"/>
        </w:rPr>
        <w:t>»</w:t>
      </w:r>
      <w:r w:rsidRPr="00444B9C">
        <w:rPr>
          <w:bCs/>
          <w:lang w:val="uk-UA"/>
        </w:rPr>
        <w:t xml:space="preserve">, </w:t>
      </w:r>
      <w:r w:rsidRPr="00444B9C">
        <w:rPr>
          <w:lang w:val="uk-UA"/>
        </w:rPr>
        <w:t xml:space="preserve">в подальшому </w:t>
      </w:r>
      <w:r w:rsidRPr="00444B9C">
        <w:rPr>
          <w:b/>
          <w:lang w:val="uk-UA"/>
        </w:rPr>
        <w:t>Товариство</w:t>
      </w:r>
      <w:r w:rsidR="00455D4C" w:rsidRPr="00444B9C">
        <w:rPr>
          <w:lang w:val="uk-UA"/>
        </w:rPr>
        <w:t>, що додається</w:t>
      </w:r>
      <w:r w:rsidRPr="00444B9C">
        <w:rPr>
          <w:lang w:val="uk-UA"/>
        </w:rPr>
        <w:t xml:space="preserve"> </w:t>
      </w:r>
      <w:r w:rsidR="00455D4C" w:rsidRPr="00444B9C">
        <w:rPr>
          <w:lang w:val="uk-UA"/>
        </w:rPr>
        <w:t>та</w:t>
      </w:r>
      <w:r w:rsidRPr="00444B9C">
        <w:rPr>
          <w:lang w:val="uk-UA"/>
        </w:rPr>
        <w:t xml:space="preserve"> складається з Балансу (Звіту про фінансовий стан) станом на 31 грудня 201</w:t>
      </w:r>
      <w:r w:rsidR="00380FCD" w:rsidRPr="00444B9C">
        <w:rPr>
          <w:lang w:val="uk-UA"/>
        </w:rPr>
        <w:t>6</w:t>
      </w:r>
      <w:r w:rsidRPr="00444B9C">
        <w:rPr>
          <w:lang w:val="uk-UA"/>
        </w:rPr>
        <w:t xml:space="preserve"> року, Звіту про фінансові результати (Звіт про сукупний дохід), Звіт</w:t>
      </w:r>
      <w:r w:rsidR="006D1589" w:rsidRPr="00444B9C">
        <w:rPr>
          <w:lang w:val="uk-UA"/>
        </w:rPr>
        <w:t>у</w:t>
      </w:r>
      <w:r w:rsidRPr="00444B9C">
        <w:rPr>
          <w:lang w:val="uk-UA"/>
        </w:rPr>
        <w:t xml:space="preserve"> про рух грошових коштів,  Звіт про власний капітал за рік, який</w:t>
      </w:r>
      <w:r w:rsidR="00EE1018">
        <w:rPr>
          <w:lang w:val="uk-UA"/>
        </w:rPr>
        <w:t xml:space="preserve"> закінчився цією датою, а також Приміток до фінансової звітності </w:t>
      </w:r>
      <w:r w:rsidRPr="00444B9C">
        <w:rPr>
          <w:lang w:val="uk-UA"/>
        </w:rPr>
        <w:t>(надалі разом – «фінансова звітність»).</w:t>
      </w:r>
    </w:p>
    <w:p w:rsidR="00DB2E50" w:rsidRPr="00444B9C" w:rsidRDefault="00EE1018" w:rsidP="00DA67E2">
      <w:pPr>
        <w:tabs>
          <w:tab w:val="left" w:pos="0"/>
        </w:tabs>
        <w:jc w:val="both"/>
        <w:rPr>
          <w:b/>
          <w:i/>
          <w:lang w:val="uk-UA"/>
        </w:rPr>
      </w:pPr>
      <w:r>
        <w:rPr>
          <w:b/>
          <w:i/>
          <w:lang w:val="uk-UA"/>
        </w:rPr>
        <w:t xml:space="preserve"> </w:t>
      </w:r>
    </w:p>
    <w:p w:rsidR="00DB2E50" w:rsidRPr="00444B9C" w:rsidRDefault="00DB2E50" w:rsidP="008505DB">
      <w:pPr>
        <w:shd w:val="clear" w:color="auto" w:fill="FFFFFF"/>
        <w:tabs>
          <w:tab w:val="left" w:pos="0"/>
        </w:tabs>
        <w:jc w:val="both"/>
        <w:rPr>
          <w:b/>
          <w:i/>
          <w:color w:val="000000"/>
          <w:lang w:val="uk-UA"/>
        </w:rPr>
      </w:pPr>
      <w:r w:rsidRPr="00444B9C">
        <w:rPr>
          <w:b/>
          <w:i/>
          <w:color w:val="000000"/>
          <w:lang w:val="uk-UA"/>
        </w:rPr>
        <w:t>Відповідальність управлінського персоналу за фінансову звітність</w:t>
      </w:r>
    </w:p>
    <w:p w:rsidR="00EA3F45" w:rsidRPr="00444B9C" w:rsidRDefault="00DB2E50" w:rsidP="00DA67E2">
      <w:pPr>
        <w:shd w:val="clear" w:color="auto" w:fill="FFFFFF"/>
        <w:tabs>
          <w:tab w:val="left" w:pos="0"/>
        </w:tabs>
        <w:jc w:val="both"/>
        <w:rPr>
          <w:color w:val="000000"/>
          <w:lang w:val="uk-UA"/>
        </w:rPr>
      </w:pPr>
      <w:r w:rsidRPr="00444B9C">
        <w:rPr>
          <w:color w:val="000000"/>
          <w:lang w:val="uk-UA"/>
        </w:rPr>
        <w:t xml:space="preserve">Керівництво несе відповідальність за підготовку та достовірне представлення зазначеної річної фінансової звітності у відповідності з вимогами </w:t>
      </w:r>
      <w:r w:rsidR="00A16ADA" w:rsidRPr="00444B9C">
        <w:rPr>
          <w:color w:val="000000"/>
          <w:lang w:val="uk-UA"/>
        </w:rPr>
        <w:t>Міжнародних стандартів бухгалтерського обліку (надалі - МСБО) та Міжнародних стандартів фінансової звітності (надалі - МСФЗ)</w:t>
      </w:r>
      <w:r w:rsidRPr="00444B9C">
        <w:rPr>
          <w:color w:val="000000"/>
          <w:lang w:val="uk-UA"/>
        </w:rPr>
        <w:t>. Ця відповідальність включає планування, впровадження та підтримку належного внутрішнього контролю, необхідного для підготовки та достовірного представлення фінансової звітності, яка не містить суттєвих викривлень внаслідок шахрайства або помилки</w:t>
      </w:r>
      <w:r w:rsidR="00EA3F45" w:rsidRPr="00444B9C">
        <w:rPr>
          <w:color w:val="000000"/>
          <w:lang w:val="uk-UA"/>
        </w:rPr>
        <w:t>.</w:t>
      </w:r>
    </w:p>
    <w:p w:rsidR="008505DB" w:rsidRPr="00444B9C" w:rsidRDefault="00D6670E" w:rsidP="008505DB">
      <w:pPr>
        <w:pStyle w:val="2"/>
        <w:tabs>
          <w:tab w:val="left" w:pos="0"/>
        </w:tabs>
        <w:spacing w:after="0"/>
        <w:jc w:val="both"/>
        <w:rPr>
          <w:rFonts w:ascii="Times New Roman" w:hAnsi="Times New Roman"/>
          <w:spacing w:val="-3"/>
          <w:sz w:val="24"/>
          <w:szCs w:val="24"/>
          <w:lang w:val="uk-UA"/>
        </w:rPr>
      </w:pPr>
      <w:r w:rsidRPr="00444B9C">
        <w:rPr>
          <w:rFonts w:ascii="Times New Roman" w:hAnsi="Times New Roman"/>
          <w:spacing w:val="-3"/>
          <w:sz w:val="24"/>
          <w:szCs w:val="24"/>
          <w:lang w:val="uk-UA"/>
        </w:rPr>
        <w:t>Відповідальність аудитора</w:t>
      </w:r>
      <w:r w:rsidR="008505DB" w:rsidRPr="00444B9C">
        <w:rPr>
          <w:rFonts w:ascii="Times New Roman" w:hAnsi="Times New Roman"/>
          <w:spacing w:val="-3"/>
          <w:sz w:val="24"/>
          <w:szCs w:val="24"/>
          <w:lang w:val="uk-UA"/>
        </w:rPr>
        <w:t xml:space="preserve"> </w:t>
      </w:r>
    </w:p>
    <w:p w:rsidR="00DB2E50" w:rsidRPr="00444B9C" w:rsidRDefault="00DB2E50" w:rsidP="008505DB">
      <w:pPr>
        <w:pStyle w:val="2"/>
        <w:tabs>
          <w:tab w:val="left" w:pos="0"/>
        </w:tabs>
        <w:spacing w:before="0" w:after="0"/>
        <w:jc w:val="both"/>
        <w:rPr>
          <w:rFonts w:ascii="Times New Roman" w:hAnsi="Times New Roman"/>
          <w:spacing w:val="-3"/>
          <w:sz w:val="24"/>
          <w:szCs w:val="24"/>
          <w:lang w:val="uk-UA"/>
        </w:rPr>
      </w:pPr>
      <w:r w:rsidRPr="00444B9C">
        <w:rPr>
          <w:rFonts w:ascii="Times New Roman" w:hAnsi="Times New Roman"/>
          <w:b w:val="0"/>
          <w:bCs w:val="0"/>
          <w:i w:val="0"/>
          <w:iCs w:val="0"/>
          <w:sz w:val="24"/>
          <w:szCs w:val="24"/>
          <w:lang w:val="uk-UA"/>
        </w:rPr>
        <w:t>Відповідальністю  аудитора є висловлення думки щодо цієї фінансової звітності на  основі результатів нашого аудиту. Ми провели аудит відповідно до Міжнародних стандартів контролю, якості, аудиту, огляду, іншого надання впевненості та супутніх послуг.  Ці стандарти вимагають від нас дотримання відповідних етичних вимог, а також  планування  й виконання аудиту для отримання достатньої впевненості, що фінансова звітність не містить суттєвих викривлень.</w:t>
      </w:r>
    </w:p>
    <w:p w:rsidR="00DB2E50" w:rsidRPr="00444B9C" w:rsidRDefault="00DB2E50" w:rsidP="00DA67E2">
      <w:pPr>
        <w:pStyle w:val="20"/>
        <w:tabs>
          <w:tab w:val="left" w:pos="0"/>
        </w:tabs>
        <w:spacing w:before="0" w:line="240" w:lineRule="auto"/>
        <w:ind w:firstLine="0"/>
        <w:rPr>
          <w:szCs w:val="24"/>
        </w:rPr>
      </w:pPr>
      <w:r w:rsidRPr="00444B9C">
        <w:rPr>
          <w:szCs w:val="24"/>
        </w:rPr>
        <w:t xml:space="preserve">Аудит передбачає виконання аудиторських процедур для отримання аудиторських доказів щодо сум і </w:t>
      </w:r>
      <w:r w:rsidR="00455D4C" w:rsidRPr="00444B9C">
        <w:rPr>
          <w:szCs w:val="24"/>
        </w:rPr>
        <w:t>тверджень</w:t>
      </w:r>
      <w:r w:rsidRPr="00444B9C">
        <w:rPr>
          <w:szCs w:val="24"/>
        </w:rPr>
        <w:t xml:space="preserve"> у фінансовій звітності. Вибір процедур залежить від судження аудитора, включаючи оцінку ризиків суттєвих викривлень фінансової звітності внаслідок шахрайства або помилок. Виконуючи оцінку цих ризиків, аудитор розглядає заходи внутрішнього контролю, що стосуються складання та достовірного подання фінансової </w:t>
      </w:r>
      <w:r w:rsidRPr="00444B9C">
        <w:rPr>
          <w:szCs w:val="24"/>
        </w:rPr>
        <w:lastRenderedPageBreak/>
        <w:t>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Аудит включає також оцінку відповідності використаної облікової політики, прийнятність облікових оцінок, зроблених управлінським персоналом та загального подання фінансової звітності.</w:t>
      </w:r>
    </w:p>
    <w:p w:rsidR="00DB2E50" w:rsidRPr="00444B9C" w:rsidRDefault="00DB2E50" w:rsidP="00DA67E2">
      <w:pPr>
        <w:pStyle w:val="ab"/>
        <w:tabs>
          <w:tab w:val="left" w:pos="0"/>
        </w:tabs>
        <w:spacing w:after="0"/>
        <w:jc w:val="both"/>
        <w:rPr>
          <w:rFonts w:eastAsia="Calibri"/>
          <w:lang w:val="uk-UA"/>
        </w:rPr>
      </w:pPr>
      <w:r w:rsidRPr="00444B9C">
        <w:rPr>
          <w:color w:val="000000"/>
          <w:lang w:val="uk-UA"/>
        </w:rPr>
        <w:t xml:space="preserve">Ми вважаємо, </w:t>
      </w:r>
      <w:r w:rsidRPr="00444B9C">
        <w:rPr>
          <w:lang w:val="uk-UA"/>
        </w:rPr>
        <w:t xml:space="preserve">що аудиторські докази, отримані аудиторами є достатніми, незалежними і прийнятними для формування підстави для висловлення модифікованої аудиторської думки щодо фінансової звітності </w:t>
      </w:r>
      <w:r w:rsidR="00A16ADA" w:rsidRPr="00444B9C">
        <w:rPr>
          <w:rFonts w:eastAsia="Calibri"/>
          <w:lang w:val="uk-UA"/>
        </w:rPr>
        <w:t>Товариства</w:t>
      </w:r>
      <w:r w:rsidRPr="00444B9C">
        <w:rPr>
          <w:rFonts w:eastAsia="Calibri"/>
          <w:lang w:val="uk-UA"/>
        </w:rPr>
        <w:t>.</w:t>
      </w:r>
    </w:p>
    <w:p w:rsidR="006E1986" w:rsidRDefault="006E1986" w:rsidP="00DA67E2">
      <w:pPr>
        <w:shd w:val="clear" w:color="auto" w:fill="FFFFFF"/>
        <w:tabs>
          <w:tab w:val="left" w:pos="0"/>
        </w:tabs>
        <w:spacing w:line="298" w:lineRule="exact"/>
        <w:jc w:val="both"/>
        <w:rPr>
          <w:lang w:val="uk-UA"/>
        </w:rPr>
      </w:pPr>
    </w:p>
    <w:p w:rsidR="00F92D8E" w:rsidRPr="009C5C34" w:rsidRDefault="00F92D8E" w:rsidP="00F92D8E">
      <w:pPr>
        <w:shd w:val="clear" w:color="auto" w:fill="FFFFFF"/>
        <w:jc w:val="both"/>
        <w:rPr>
          <w:b/>
          <w:i/>
          <w:lang w:val="uk-UA"/>
        </w:rPr>
      </w:pPr>
      <w:r w:rsidRPr="009C5C34">
        <w:rPr>
          <w:b/>
          <w:i/>
          <w:lang w:val="uk-UA"/>
        </w:rPr>
        <w:t>Підстава для висловлення умовно-позитивної думки</w:t>
      </w:r>
    </w:p>
    <w:p w:rsidR="00F92D8E" w:rsidRPr="009C5C34" w:rsidRDefault="00F92D8E" w:rsidP="00F92D8E">
      <w:pPr>
        <w:shd w:val="clear" w:color="auto" w:fill="FFFFFF"/>
        <w:ind w:right="74"/>
        <w:jc w:val="both"/>
        <w:rPr>
          <w:lang w:val="uk-UA"/>
        </w:rPr>
      </w:pPr>
      <w:r w:rsidRPr="009C5C34">
        <w:rPr>
          <w:lang w:val="uk-UA"/>
        </w:rPr>
        <w:t xml:space="preserve">Товариством проведена інвентаризація згідно наказу </w:t>
      </w:r>
      <w:r w:rsidRPr="000977B0">
        <w:rPr>
          <w:lang w:val="uk-UA"/>
        </w:rPr>
        <w:t xml:space="preserve">№ </w:t>
      </w:r>
      <w:r w:rsidR="000977B0" w:rsidRPr="000977B0">
        <w:rPr>
          <w:lang w:val="uk-UA"/>
        </w:rPr>
        <w:t>6-п</w:t>
      </w:r>
      <w:r w:rsidRPr="000977B0">
        <w:rPr>
          <w:lang w:val="uk-UA"/>
        </w:rPr>
        <w:t xml:space="preserve"> від 21.10.2016</w:t>
      </w:r>
      <w:r w:rsidRPr="008B2D94">
        <w:rPr>
          <w:lang w:val="uk-UA"/>
        </w:rPr>
        <w:t xml:space="preserve"> р.,</w:t>
      </w:r>
      <w:r w:rsidRPr="009C5C34">
        <w:rPr>
          <w:lang w:val="uk-UA"/>
        </w:rPr>
        <w:t xml:space="preserve"> але оскільки Товариством не отримані на 100% акти звірок з його контрагентами, неможливо в повній мірі підтвердити дебіторську та кредиторську заборгованість.</w:t>
      </w:r>
    </w:p>
    <w:p w:rsidR="00F92D8E" w:rsidRPr="009C5C34" w:rsidRDefault="00F92D8E" w:rsidP="00F92D8E">
      <w:pPr>
        <w:jc w:val="both"/>
        <w:rPr>
          <w:lang w:val="uk-UA"/>
        </w:rPr>
      </w:pPr>
      <w:r w:rsidRPr="009C5C34">
        <w:rPr>
          <w:lang w:val="uk-UA"/>
        </w:rPr>
        <w:t>Ми не можемо зробити висновок про суттєвість впливу ймовірності проведення розрахунків за даною заборгованістю на фінансову звітність, оскільки на дату складання аудиторського висновку дія розрахунків ще не реалізована.</w:t>
      </w:r>
    </w:p>
    <w:p w:rsidR="00F92D8E" w:rsidRPr="009C5C34" w:rsidRDefault="00F92D8E" w:rsidP="00F92D8E">
      <w:pPr>
        <w:pStyle w:val="ab"/>
        <w:spacing w:after="0"/>
        <w:ind w:left="45"/>
        <w:jc w:val="both"/>
        <w:rPr>
          <w:lang w:val="uk-UA"/>
        </w:rPr>
      </w:pPr>
      <w:r w:rsidRPr="009C5C34">
        <w:rPr>
          <w:lang w:val="uk-UA"/>
        </w:rPr>
        <w:t>Проте, вплив неможливості отримання достатніх і належних аудиторських доказів не є всеохоплюючим для фінансової звітності. Аналіз наявних первинних документів, описів та облікових записів дає змогу стверджувати, що  такі невідповідності і відхилення, які можуть бути з причин, вказаних в цьому параграфі, не є суттєвими і в цілому не спотворюють фінансовий стан Товариства.</w:t>
      </w:r>
    </w:p>
    <w:p w:rsidR="00F92D8E" w:rsidRPr="009C5C34" w:rsidRDefault="00F92D8E" w:rsidP="00F92D8E">
      <w:pPr>
        <w:pStyle w:val="Default"/>
        <w:rPr>
          <w:rFonts w:eastAsia="Times New Roman"/>
          <w:b/>
          <w:i/>
          <w:color w:val="auto"/>
          <w:lang w:val="uk-UA" w:eastAsia="ru-RU"/>
        </w:rPr>
      </w:pPr>
      <w:r w:rsidRPr="009C5C34">
        <w:rPr>
          <w:rFonts w:eastAsia="Times New Roman"/>
          <w:b/>
          <w:i/>
          <w:color w:val="auto"/>
          <w:lang w:val="uk-UA" w:eastAsia="ru-RU"/>
        </w:rPr>
        <w:t xml:space="preserve">Умовно-позитивна думка </w:t>
      </w:r>
    </w:p>
    <w:p w:rsidR="00F92D8E" w:rsidRPr="009C5C34" w:rsidRDefault="00F92D8E" w:rsidP="00F92D8E">
      <w:pPr>
        <w:jc w:val="both"/>
        <w:rPr>
          <w:lang w:val="uk-UA"/>
        </w:rPr>
      </w:pPr>
      <w:r w:rsidRPr="009C5C34">
        <w:rPr>
          <w:lang w:val="uk-UA"/>
        </w:rPr>
        <w:t>На нашу думку, за винятком впливу питань, про які йдеться у параграфі “Підстава для висловлення умовно-позитивної думки”, фінансова звітність Товариства станом на 31 грудня 201</w:t>
      </w:r>
      <w:r>
        <w:rPr>
          <w:lang w:val="uk-UA"/>
        </w:rPr>
        <w:t>6</w:t>
      </w:r>
      <w:r w:rsidRPr="009C5C34">
        <w:rPr>
          <w:lang w:val="uk-UA"/>
        </w:rPr>
        <w:t xml:space="preserve"> року відповідає заявленій концептуальній основі згідно вимогам Міжнародних стандартів фінансової звітності та законодавства України.</w:t>
      </w:r>
    </w:p>
    <w:p w:rsidR="00F92D8E" w:rsidRPr="009C5C34" w:rsidRDefault="00F92D8E" w:rsidP="00F92D8E">
      <w:pPr>
        <w:shd w:val="clear" w:color="auto" w:fill="FFFFFF"/>
        <w:jc w:val="both"/>
        <w:rPr>
          <w:b/>
          <w:i/>
          <w:lang w:val="uk-UA"/>
        </w:rPr>
      </w:pPr>
      <w:r w:rsidRPr="009C5C34">
        <w:rPr>
          <w:b/>
          <w:i/>
          <w:lang w:val="uk-UA"/>
        </w:rPr>
        <w:t>Параграф з інших питань</w:t>
      </w:r>
    </w:p>
    <w:p w:rsidR="00DB2E50" w:rsidRPr="00444B9C" w:rsidRDefault="00F92D8E" w:rsidP="00F92D8E">
      <w:pPr>
        <w:pStyle w:val="20"/>
        <w:tabs>
          <w:tab w:val="left" w:pos="0"/>
        </w:tabs>
        <w:spacing w:before="0" w:line="240" w:lineRule="auto"/>
        <w:ind w:firstLine="0"/>
        <w:rPr>
          <w:szCs w:val="24"/>
        </w:rPr>
      </w:pPr>
      <w:r w:rsidRPr="009C5C34">
        <w:t>Не вносячи до нашого висновку додаткових застережень, звертаємо увагу на той факт, що на дату складання цього висновку ситуація, що склалася в України, де Товариство веде діяльність та несе ризики, має ознаки економічної нестабільності. Фінансовий стан контрагентів, операції з якими несуть ризики для Товариства, в умовах ринкових коливань не є стабільним та передбачуваним. Зважаючи на вищевикладене, наразі досить складно прогнозувати та, в повній мірі, визначити ефект впливу такої ситуації на діяльність Товариства</w:t>
      </w:r>
      <w:r w:rsidR="00DB2E50" w:rsidRPr="00444B9C">
        <w:rPr>
          <w:szCs w:val="24"/>
        </w:rPr>
        <w:t>.</w:t>
      </w:r>
    </w:p>
    <w:p w:rsidR="00D6670E" w:rsidRPr="00444B9C" w:rsidRDefault="002F3AD3" w:rsidP="00DA67E2">
      <w:pPr>
        <w:widowControl w:val="0"/>
        <w:tabs>
          <w:tab w:val="left" w:pos="0"/>
        </w:tabs>
        <w:autoSpaceDE w:val="0"/>
        <w:autoSpaceDN w:val="0"/>
        <w:adjustRightInd w:val="0"/>
        <w:jc w:val="both"/>
        <w:rPr>
          <w:b/>
          <w:iCs/>
          <w:lang w:val="uk-UA"/>
        </w:rPr>
      </w:pPr>
      <w:r w:rsidRPr="00444B9C">
        <w:rPr>
          <w:b/>
          <w:i/>
          <w:iCs/>
          <w:lang w:val="uk-UA"/>
        </w:rPr>
        <w:t xml:space="preserve">  </w:t>
      </w:r>
    </w:p>
    <w:p w:rsidR="007263FF" w:rsidRPr="00444B9C" w:rsidRDefault="00143748" w:rsidP="002F3AD3">
      <w:pPr>
        <w:pStyle w:val="20"/>
        <w:tabs>
          <w:tab w:val="left" w:pos="0"/>
        </w:tabs>
        <w:spacing w:before="0" w:line="240" w:lineRule="auto"/>
        <w:ind w:firstLine="0"/>
        <w:jc w:val="center"/>
        <w:rPr>
          <w:b/>
          <w:szCs w:val="24"/>
        </w:rPr>
      </w:pPr>
      <w:r w:rsidRPr="00444B9C">
        <w:rPr>
          <w:b/>
          <w:szCs w:val="24"/>
        </w:rPr>
        <w:t xml:space="preserve">Розділ 2. Звіт </w:t>
      </w:r>
      <w:r w:rsidR="00990F21" w:rsidRPr="00444B9C">
        <w:rPr>
          <w:b/>
          <w:szCs w:val="24"/>
        </w:rPr>
        <w:t>згідно</w:t>
      </w:r>
      <w:r w:rsidRPr="00444B9C">
        <w:rPr>
          <w:b/>
          <w:szCs w:val="24"/>
        </w:rPr>
        <w:t xml:space="preserve"> інш</w:t>
      </w:r>
      <w:r w:rsidR="00990F21" w:rsidRPr="00444B9C">
        <w:rPr>
          <w:b/>
          <w:szCs w:val="24"/>
        </w:rPr>
        <w:t>их</w:t>
      </w:r>
      <w:r w:rsidRPr="00444B9C">
        <w:rPr>
          <w:b/>
          <w:szCs w:val="24"/>
        </w:rPr>
        <w:t xml:space="preserve"> правов</w:t>
      </w:r>
      <w:r w:rsidR="00990F21" w:rsidRPr="00444B9C">
        <w:rPr>
          <w:b/>
          <w:szCs w:val="24"/>
        </w:rPr>
        <w:t>их</w:t>
      </w:r>
      <w:r w:rsidRPr="00444B9C">
        <w:rPr>
          <w:b/>
          <w:szCs w:val="24"/>
        </w:rPr>
        <w:t xml:space="preserve"> та регулятивн</w:t>
      </w:r>
      <w:r w:rsidR="00990F21" w:rsidRPr="00444B9C">
        <w:rPr>
          <w:b/>
          <w:szCs w:val="24"/>
        </w:rPr>
        <w:t>их</w:t>
      </w:r>
      <w:r w:rsidRPr="00444B9C">
        <w:rPr>
          <w:b/>
          <w:szCs w:val="24"/>
        </w:rPr>
        <w:t xml:space="preserve"> вимог</w:t>
      </w:r>
    </w:p>
    <w:p w:rsidR="00143748" w:rsidRPr="00444B9C" w:rsidRDefault="00143748" w:rsidP="00DA67E2">
      <w:pPr>
        <w:widowControl w:val="0"/>
        <w:shd w:val="clear" w:color="auto" w:fill="FFFFFF"/>
        <w:tabs>
          <w:tab w:val="left" w:pos="0"/>
        </w:tabs>
        <w:autoSpaceDE w:val="0"/>
        <w:autoSpaceDN w:val="0"/>
        <w:jc w:val="both"/>
        <w:rPr>
          <w:b/>
          <w:bCs/>
          <w:color w:val="000000"/>
          <w:lang w:val="uk-UA"/>
        </w:rPr>
      </w:pPr>
    </w:p>
    <w:p w:rsidR="00143748" w:rsidRPr="00444B9C" w:rsidRDefault="00990F21" w:rsidP="00DA67E2">
      <w:pPr>
        <w:widowControl w:val="0"/>
        <w:shd w:val="clear" w:color="auto" w:fill="FFFFFF"/>
        <w:tabs>
          <w:tab w:val="left" w:pos="0"/>
        </w:tabs>
        <w:autoSpaceDE w:val="0"/>
        <w:autoSpaceDN w:val="0"/>
        <w:jc w:val="both"/>
        <w:rPr>
          <w:bCs/>
          <w:color w:val="000000"/>
          <w:lang w:val="uk-UA"/>
        </w:rPr>
      </w:pPr>
      <w:r w:rsidRPr="00444B9C">
        <w:rPr>
          <w:b/>
          <w:bCs/>
          <w:color w:val="000000"/>
          <w:lang w:val="uk-UA"/>
        </w:rPr>
        <w:t xml:space="preserve">2.1. </w:t>
      </w:r>
      <w:r w:rsidR="00143748" w:rsidRPr="00444B9C">
        <w:rPr>
          <w:b/>
          <w:bCs/>
          <w:color w:val="000000"/>
          <w:lang w:val="uk-UA"/>
        </w:rPr>
        <w:t>Основні відомості про Товариство</w:t>
      </w:r>
      <w:r w:rsidR="00143748" w:rsidRPr="00444B9C">
        <w:rPr>
          <w:bCs/>
          <w:color w:val="000000"/>
          <w:lang w:val="uk-UA"/>
        </w:rPr>
        <w:t xml:space="preserve">  </w:t>
      </w:r>
    </w:p>
    <w:p w:rsidR="00DA67E2" w:rsidRPr="00444B9C" w:rsidRDefault="00DA67E2" w:rsidP="00DA67E2">
      <w:pPr>
        <w:widowControl w:val="0"/>
        <w:shd w:val="clear" w:color="auto" w:fill="FFFFFF"/>
        <w:tabs>
          <w:tab w:val="left" w:pos="0"/>
        </w:tabs>
        <w:autoSpaceDE w:val="0"/>
        <w:autoSpaceDN w:val="0"/>
        <w:jc w:val="both"/>
        <w:rPr>
          <w:b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5989"/>
      </w:tblGrid>
      <w:tr w:rsidR="00D6670E" w:rsidRPr="00444B9C" w:rsidTr="00511C41">
        <w:trPr>
          <w:jc w:val="center"/>
        </w:trPr>
        <w:tc>
          <w:tcPr>
            <w:tcW w:w="3537" w:type="dxa"/>
            <w:vAlign w:val="center"/>
          </w:tcPr>
          <w:p w:rsidR="00D6670E" w:rsidRPr="00444B9C" w:rsidRDefault="00D6670E" w:rsidP="00DA67E2">
            <w:pPr>
              <w:tabs>
                <w:tab w:val="left" w:pos="0"/>
              </w:tabs>
              <w:jc w:val="center"/>
              <w:rPr>
                <w:color w:val="000000"/>
                <w:lang w:val="uk-UA" w:eastAsia="uk-UA"/>
              </w:rPr>
            </w:pPr>
            <w:r w:rsidRPr="00444B9C">
              <w:rPr>
                <w:color w:val="000000"/>
                <w:lang w:val="uk-UA" w:eastAsia="uk-UA"/>
              </w:rPr>
              <w:t>Повне найменування підприємства</w:t>
            </w:r>
          </w:p>
        </w:tc>
        <w:tc>
          <w:tcPr>
            <w:tcW w:w="5989" w:type="dxa"/>
            <w:vAlign w:val="center"/>
          </w:tcPr>
          <w:p w:rsidR="00D6670E" w:rsidRPr="00444B9C" w:rsidRDefault="00162CD2" w:rsidP="00F92D8E">
            <w:pPr>
              <w:tabs>
                <w:tab w:val="left" w:pos="0"/>
              </w:tabs>
              <w:jc w:val="center"/>
              <w:rPr>
                <w:b/>
                <w:color w:val="000000"/>
                <w:lang w:val="uk-UA" w:eastAsia="uk-UA"/>
              </w:rPr>
            </w:pPr>
            <w:r w:rsidRPr="00444B9C">
              <w:rPr>
                <w:lang w:val="uk-UA"/>
              </w:rPr>
              <w:t>ТОВАРИСТВО З ОБМЕЖЕНОЮ ВІДПОВІДАЛЬНІСТЮ</w:t>
            </w:r>
            <w:r w:rsidR="000977B0">
              <w:rPr>
                <w:lang w:val="uk-UA"/>
              </w:rPr>
              <w:t xml:space="preserve"> «ФІНАНСОВА КОМПАНІЯ</w:t>
            </w:r>
            <w:r w:rsidRPr="00444B9C">
              <w:rPr>
                <w:lang w:val="uk-UA"/>
              </w:rPr>
              <w:t xml:space="preserve"> «</w:t>
            </w:r>
            <w:r w:rsidR="00F92D8E">
              <w:rPr>
                <w:lang w:val="uk-UA"/>
              </w:rPr>
              <w:t>ТОЛОКА</w:t>
            </w:r>
            <w:r w:rsidRPr="00444B9C">
              <w:rPr>
                <w:lang w:val="uk-UA"/>
              </w:rPr>
              <w:t>»</w:t>
            </w:r>
          </w:p>
        </w:tc>
      </w:tr>
      <w:tr w:rsidR="00D6670E" w:rsidRPr="00444B9C" w:rsidTr="00511C41">
        <w:trPr>
          <w:jc w:val="center"/>
        </w:trPr>
        <w:tc>
          <w:tcPr>
            <w:tcW w:w="3537" w:type="dxa"/>
            <w:vAlign w:val="center"/>
          </w:tcPr>
          <w:p w:rsidR="00D6670E" w:rsidRPr="00444B9C" w:rsidRDefault="00D6670E" w:rsidP="00DA67E2">
            <w:pPr>
              <w:tabs>
                <w:tab w:val="left" w:pos="0"/>
              </w:tabs>
              <w:jc w:val="center"/>
              <w:rPr>
                <w:color w:val="000000"/>
                <w:lang w:val="uk-UA"/>
              </w:rPr>
            </w:pPr>
            <w:r w:rsidRPr="00444B9C">
              <w:rPr>
                <w:color w:val="000000"/>
                <w:lang w:val="uk-UA"/>
              </w:rPr>
              <w:t>Скорочене найменування підприємства</w:t>
            </w:r>
          </w:p>
        </w:tc>
        <w:tc>
          <w:tcPr>
            <w:tcW w:w="5989" w:type="dxa"/>
            <w:vAlign w:val="center"/>
          </w:tcPr>
          <w:p w:rsidR="00D6670E" w:rsidRPr="00444B9C" w:rsidRDefault="00162CD2" w:rsidP="000977B0">
            <w:pPr>
              <w:tabs>
                <w:tab w:val="left" w:pos="0"/>
              </w:tabs>
              <w:jc w:val="center"/>
              <w:rPr>
                <w:b/>
                <w:color w:val="000000"/>
                <w:highlight w:val="yellow"/>
                <w:lang w:val="uk-UA"/>
              </w:rPr>
            </w:pPr>
            <w:r w:rsidRPr="00444B9C">
              <w:rPr>
                <w:lang w:val="uk-UA"/>
              </w:rPr>
              <w:t>ТОВ</w:t>
            </w:r>
            <w:r w:rsidR="000977B0">
              <w:rPr>
                <w:lang w:val="uk-UA"/>
              </w:rPr>
              <w:t xml:space="preserve"> «ФК «</w:t>
            </w:r>
            <w:r w:rsidR="00F92D8E">
              <w:rPr>
                <w:lang w:val="uk-UA"/>
              </w:rPr>
              <w:t>ТОЛОКА</w:t>
            </w:r>
            <w:r w:rsidR="000977B0">
              <w:rPr>
                <w:lang w:val="uk-UA"/>
              </w:rPr>
              <w:t>»</w:t>
            </w:r>
          </w:p>
        </w:tc>
      </w:tr>
      <w:tr w:rsidR="00D6670E" w:rsidRPr="00444B9C" w:rsidTr="00511C41">
        <w:trPr>
          <w:jc w:val="center"/>
        </w:trPr>
        <w:tc>
          <w:tcPr>
            <w:tcW w:w="3537" w:type="dxa"/>
            <w:vAlign w:val="center"/>
          </w:tcPr>
          <w:p w:rsidR="00D6670E" w:rsidRPr="00444B9C" w:rsidRDefault="00D6670E" w:rsidP="00DA67E2">
            <w:pPr>
              <w:tabs>
                <w:tab w:val="left" w:pos="0"/>
              </w:tabs>
              <w:jc w:val="center"/>
              <w:rPr>
                <w:color w:val="000000"/>
                <w:lang w:val="uk-UA"/>
              </w:rPr>
            </w:pPr>
            <w:r w:rsidRPr="00444B9C">
              <w:rPr>
                <w:color w:val="000000"/>
                <w:lang w:val="uk-UA"/>
              </w:rPr>
              <w:t>Організаційно-правова форма підприємства</w:t>
            </w:r>
          </w:p>
        </w:tc>
        <w:tc>
          <w:tcPr>
            <w:tcW w:w="5989" w:type="dxa"/>
            <w:vAlign w:val="center"/>
          </w:tcPr>
          <w:p w:rsidR="00D6670E" w:rsidRPr="00444B9C" w:rsidRDefault="00162CD2" w:rsidP="00DA67E2">
            <w:pPr>
              <w:tabs>
                <w:tab w:val="left" w:pos="0"/>
              </w:tabs>
              <w:jc w:val="center"/>
              <w:rPr>
                <w:color w:val="000000"/>
                <w:highlight w:val="yellow"/>
                <w:lang w:val="uk-UA"/>
              </w:rPr>
            </w:pPr>
            <w:r w:rsidRPr="00444B9C">
              <w:rPr>
                <w:color w:val="000000"/>
                <w:lang w:val="uk-UA"/>
              </w:rPr>
              <w:t>ТОВАРИСТВО З ОБМЕЖЕНОЮ ВІДПОВІДАЛЬНІСТЮ</w:t>
            </w:r>
          </w:p>
        </w:tc>
      </w:tr>
      <w:tr w:rsidR="00D6670E" w:rsidRPr="00444B9C" w:rsidTr="00511C41">
        <w:trPr>
          <w:jc w:val="center"/>
        </w:trPr>
        <w:tc>
          <w:tcPr>
            <w:tcW w:w="3537" w:type="dxa"/>
            <w:vAlign w:val="center"/>
          </w:tcPr>
          <w:p w:rsidR="00D6670E" w:rsidRPr="00444B9C" w:rsidRDefault="00D6670E" w:rsidP="00DA67E2">
            <w:pPr>
              <w:tabs>
                <w:tab w:val="left" w:pos="0"/>
              </w:tabs>
              <w:jc w:val="center"/>
              <w:rPr>
                <w:color w:val="000000"/>
                <w:lang w:val="uk-UA"/>
              </w:rPr>
            </w:pPr>
            <w:r w:rsidRPr="00444B9C">
              <w:rPr>
                <w:color w:val="000000"/>
                <w:lang w:val="uk-UA"/>
              </w:rPr>
              <w:t>Код ЕДРПОУ</w:t>
            </w:r>
          </w:p>
        </w:tc>
        <w:tc>
          <w:tcPr>
            <w:tcW w:w="5989" w:type="dxa"/>
            <w:vAlign w:val="center"/>
          </w:tcPr>
          <w:p w:rsidR="00F92D8E" w:rsidRPr="009C5C34" w:rsidRDefault="00F92D8E" w:rsidP="00F92D8E">
            <w:pPr>
              <w:contextualSpacing/>
              <w:jc w:val="center"/>
            </w:pPr>
            <w:r w:rsidRPr="009C5C34">
              <w:t>32955460</w:t>
            </w:r>
          </w:p>
          <w:p w:rsidR="00D6670E" w:rsidRPr="00444B9C" w:rsidRDefault="00D6670E" w:rsidP="00F92D8E">
            <w:pPr>
              <w:tabs>
                <w:tab w:val="left" w:pos="0"/>
              </w:tabs>
              <w:rPr>
                <w:b/>
                <w:color w:val="000000"/>
                <w:lang w:val="en-US"/>
              </w:rPr>
            </w:pPr>
          </w:p>
        </w:tc>
      </w:tr>
      <w:tr w:rsidR="00D6670E" w:rsidRPr="00444B9C" w:rsidTr="00511C41">
        <w:trPr>
          <w:jc w:val="center"/>
        </w:trPr>
        <w:tc>
          <w:tcPr>
            <w:tcW w:w="3537" w:type="dxa"/>
            <w:vAlign w:val="center"/>
          </w:tcPr>
          <w:p w:rsidR="00D6670E" w:rsidRPr="00444B9C" w:rsidRDefault="00D6670E" w:rsidP="00DA67E2">
            <w:pPr>
              <w:tabs>
                <w:tab w:val="left" w:pos="0"/>
              </w:tabs>
              <w:autoSpaceDE w:val="0"/>
              <w:autoSpaceDN w:val="0"/>
              <w:adjustRightInd w:val="0"/>
              <w:jc w:val="center"/>
              <w:rPr>
                <w:color w:val="000000"/>
                <w:lang w:val="uk-UA"/>
              </w:rPr>
            </w:pPr>
            <w:r w:rsidRPr="00444B9C">
              <w:rPr>
                <w:color w:val="000000"/>
                <w:lang w:val="uk-UA"/>
              </w:rPr>
              <w:t>Юридична адреса підприємства</w:t>
            </w:r>
          </w:p>
        </w:tc>
        <w:tc>
          <w:tcPr>
            <w:tcW w:w="5989" w:type="dxa"/>
          </w:tcPr>
          <w:p w:rsidR="00D6670E" w:rsidRPr="00444B9C" w:rsidRDefault="000977B0" w:rsidP="00DA67E2">
            <w:pPr>
              <w:tabs>
                <w:tab w:val="left" w:pos="0"/>
              </w:tabs>
              <w:jc w:val="center"/>
              <w:rPr>
                <w:lang w:val="uk-UA"/>
              </w:rPr>
            </w:pPr>
            <w:proofErr w:type="spellStart"/>
            <w:r>
              <w:t>Україна</w:t>
            </w:r>
            <w:proofErr w:type="spellEnd"/>
            <w:r>
              <w:rPr>
                <w:lang w:val="uk-UA"/>
              </w:rPr>
              <w:t>,</w:t>
            </w:r>
            <w:r w:rsidR="00F92D8E" w:rsidRPr="009C5C34">
              <w:t xml:space="preserve"> 03058, м. </w:t>
            </w:r>
            <w:proofErr w:type="spellStart"/>
            <w:r w:rsidR="00F92D8E" w:rsidRPr="009C5C34">
              <w:t>Київ</w:t>
            </w:r>
            <w:proofErr w:type="spellEnd"/>
            <w:r w:rsidR="00F92D8E" w:rsidRPr="009C5C34">
              <w:t xml:space="preserve">, </w:t>
            </w:r>
            <w:proofErr w:type="spellStart"/>
            <w:r w:rsidR="00F92D8E" w:rsidRPr="009C5C34">
              <w:t>вул</w:t>
            </w:r>
            <w:proofErr w:type="spellEnd"/>
            <w:r w:rsidR="00F92D8E" w:rsidRPr="009C5C34">
              <w:t>. Лебедєва-Кумача, 5</w:t>
            </w:r>
          </w:p>
        </w:tc>
      </w:tr>
      <w:tr w:rsidR="00D6670E" w:rsidRPr="00444B9C" w:rsidTr="00511C41">
        <w:trPr>
          <w:jc w:val="center"/>
        </w:trPr>
        <w:tc>
          <w:tcPr>
            <w:tcW w:w="3537" w:type="dxa"/>
            <w:vAlign w:val="center"/>
          </w:tcPr>
          <w:p w:rsidR="00D6670E" w:rsidRPr="00444B9C" w:rsidRDefault="00D6670E" w:rsidP="00DA67E2">
            <w:pPr>
              <w:tabs>
                <w:tab w:val="left" w:pos="0"/>
              </w:tabs>
              <w:jc w:val="center"/>
              <w:rPr>
                <w:color w:val="000000"/>
                <w:lang w:val="uk-UA"/>
              </w:rPr>
            </w:pPr>
            <w:r w:rsidRPr="00444B9C">
              <w:rPr>
                <w:color w:val="000000"/>
                <w:lang w:val="uk-UA"/>
              </w:rPr>
              <w:t>Дата і номер запису в Єдиному державному реєстрі юридичних осіб  і ФОП</w:t>
            </w:r>
          </w:p>
        </w:tc>
        <w:tc>
          <w:tcPr>
            <w:tcW w:w="5989" w:type="dxa"/>
            <w:tcBorders>
              <w:bottom w:val="single" w:sz="4" w:space="0" w:color="auto"/>
            </w:tcBorders>
          </w:tcPr>
          <w:p w:rsidR="00F92D8E" w:rsidRPr="009C5C34" w:rsidRDefault="00F92D8E" w:rsidP="00F92D8E">
            <w:pPr>
              <w:contextualSpacing/>
              <w:jc w:val="both"/>
              <w:rPr>
                <w:bCs/>
              </w:rPr>
            </w:pPr>
            <w:r w:rsidRPr="009C5C34">
              <w:rPr>
                <w:bCs/>
              </w:rPr>
              <w:t>26.04.2004</w:t>
            </w:r>
            <w:r w:rsidR="000977B0">
              <w:rPr>
                <w:bCs/>
                <w:lang w:val="uk-UA"/>
              </w:rPr>
              <w:t xml:space="preserve"> </w:t>
            </w:r>
            <w:r w:rsidRPr="009C5C34">
              <w:rPr>
                <w:bCs/>
              </w:rPr>
              <w:t xml:space="preserve">року, номер </w:t>
            </w:r>
            <w:proofErr w:type="spellStart"/>
            <w:r w:rsidRPr="009C5C34">
              <w:rPr>
                <w:bCs/>
              </w:rPr>
              <w:t>запису</w:t>
            </w:r>
            <w:proofErr w:type="spellEnd"/>
            <w:r w:rsidRPr="009C5C34">
              <w:rPr>
                <w:bCs/>
              </w:rPr>
              <w:t xml:space="preserve"> про </w:t>
            </w:r>
            <w:proofErr w:type="spellStart"/>
            <w:r w:rsidRPr="009C5C34">
              <w:rPr>
                <w:bCs/>
              </w:rPr>
              <w:t>включення</w:t>
            </w:r>
            <w:proofErr w:type="spellEnd"/>
            <w:r w:rsidRPr="009C5C34">
              <w:rPr>
                <w:bCs/>
              </w:rPr>
              <w:t xml:space="preserve"> </w:t>
            </w:r>
            <w:proofErr w:type="spellStart"/>
            <w:r w:rsidRPr="009C5C34">
              <w:rPr>
                <w:bCs/>
              </w:rPr>
              <w:t>відомостей</w:t>
            </w:r>
            <w:proofErr w:type="spellEnd"/>
            <w:r w:rsidRPr="009C5C34">
              <w:rPr>
                <w:bCs/>
              </w:rPr>
              <w:t xml:space="preserve"> про </w:t>
            </w:r>
            <w:proofErr w:type="spellStart"/>
            <w:r w:rsidRPr="009C5C34">
              <w:rPr>
                <w:bCs/>
              </w:rPr>
              <w:t>юридичну</w:t>
            </w:r>
            <w:proofErr w:type="spellEnd"/>
            <w:r w:rsidRPr="009C5C34">
              <w:rPr>
                <w:bCs/>
              </w:rPr>
              <w:t xml:space="preserve"> особу 1 073 120 0000 003629 та видано </w:t>
            </w:r>
            <w:proofErr w:type="spellStart"/>
            <w:proofErr w:type="gramStart"/>
            <w:r w:rsidRPr="009C5C34">
              <w:rPr>
                <w:bCs/>
              </w:rPr>
              <w:t>Св</w:t>
            </w:r>
            <w:proofErr w:type="gramEnd"/>
            <w:r w:rsidRPr="009C5C34">
              <w:rPr>
                <w:bCs/>
              </w:rPr>
              <w:t>ідоцтво</w:t>
            </w:r>
            <w:proofErr w:type="spellEnd"/>
            <w:r w:rsidRPr="009C5C34">
              <w:rPr>
                <w:bCs/>
              </w:rPr>
              <w:t xml:space="preserve"> </w:t>
            </w:r>
            <w:proofErr w:type="spellStart"/>
            <w:r w:rsidRPr="009C5C34">
              <w:rPr>
                <w:bCs/>
              </w:rPr>
              <w:t>серія</w:t>
            </w:r>
            <w:proofErr w:type="spellEnd"/>
            <w:r w:rsidRPr="009C5C34">
              <w:rPr>
                <w:bCs/>
              </w:rPr>
              <w:t xml:space="preserve"> А00 №003756.</w:t>
            </w:r>
          </w:p>
          <w:p w:rsidR="00D6670E" w:rsidRPr="00F92D8E" w:rsidRDefault="00D6670E" w:rsidP="00A6537F">
            <w:pPr>
              <w:tabs>
                <w:tab w:val="left" w:pos="0"/>
              </w:tabs>
              <w:jc w:val="center"/>
            </w:pPr>
          </w:p>
        </w:tc>
      </w:tr>
      <w:tr w:rsidR="00D6670E" w:rsidRPr="00444B9C" w:rsidTr="00A6537F">
        <w:trPr>
          <w:jc w:val="center"/>
        </w:trPr>
        <w:tc>
          <w:tcPr>
            <w:tcW w:w="3537" w:type="dxa"/>
            <w:vAlign w:val="center"/>
          </w:tcPr>
          <w:p w:rsidR="00D6670E" w:rsidRPr="00444B9C" w:rsidRDefault="00D6670E" w:rsidP="00DA67E2">
            <w:pPr>
              <w:tabs>
                <w:tab w:val="left" w:pos="0"/>
              </w:tabs>
              <w:jc w:val="center"/>
              <w:rPr>
                <w:color w:val="000000"/>
                <w:lang w:val="uk-UA"/>
              </w:rPr>
            </w:pPr>
            <w:r w:rsidRPr="00444B9C">
              <w:rPr>
                <w:color w:val="000000"/>
                <w:lang w:val="uk-UA"/>
              </w:rPr>
              <w:t>Розмір зареєстрованого  статутного капіталу, тис. грн.</w:t>
            </w:r>
          </w:p>
        </w:tc>
        <w:tc>
          <w:tcPr>
            <w:tcW w:w="5989" w:type="dxa"/>
            <w:shd w:val="clear" w:color="auto" w:fill="auto"/>
            <w:vAlign w:val="center"/>
          </w:tcPr>
          <w:p w:rsidR="00D6670E" w:rsidRPr="00444B9C" w:rsidRDefault="00F92D8E" w:rsidP="00F92D8E">
            <w:pPr>
              <w:tabs>
                <w:tab w:val="left" w:pos="0"/>
              </w:tabs>
              <w:jc w:val="center"/>
              <w:rPr>
                <w:lang w:val="uk-UA"/>
              </w:rPr>
            </w:pPr>
            <w:r>
              <w:rPr>
                <w:color w:val="000000"/>
                <w:lang w:val="uk-UA"/>
              </w:rPr>
              <w:t>1</w:t>
            </w:r>
            <w:r w:rsidR="00A6537F" w:rsidRPr="00444B9C">
              <w:rPr>
                <w:color w:val="000000"/>
                <w:lang w:val="uk-UA"/>
              </w:rPr>
              <w:t xml:space="preserve">6 </w:t>
            </w:r>
            <w:r>
              <w:rPr>
                <w:color w:val="000000"/>
                <w:lang w:val="uk-UA"/>
              </w:rPr>
              <w:t>5</w:t>
            </w:r>
            <w:r w:rsidR="00A6537F" w:rsidRPr="00444B9C">
              <w:rPr>
                <w:color w:val="000000"/>
                <w:lang w:val="uk-UA"/>
              </w:rPr>
              <w:t>00</w:t>
            </w:r>
          </w:p>
        </w:tc>
      </w:tr>
      <w:tr w:rsidR="00D6670E" w:rsidRPr="00444B9C" w:rsidTr="00A6537F">
        <w:trPr>
          <w:jc w:val="center"/>
        </w:trPr>
        <w:tc>
          <w:tcPr>
            <w:tcW w:w="3537" w:type="dxa"/>
            <w:vAlign w:val="center"/>
          </w:tcPr>
          <w:p w:rsidR="00D6670E" w:rsidRPr="00444B9C" w:rsidRDefault="00D6670E" w:rsidP="00DA67E2">
            <w:pPr>
              <w:tabs>
                <w:tab w:val="left" w:pos="0"/>
              </w:tabs>
              <w:jc w:val="center"/>
              <w:rPr>
                <w:color w:val="000000"/>
                <w:lang w:val="uk-UA"/>
              </w:rPr>
            </w:pPr>
            <w:r w:rsidRPr="00444B9C">
              <w:rPr>
                <w:color w:val="000000"/>
                <w:lang w:val="uk-UA"/>
              </w:rPr>
              <w:t>Розмір сплаченого статутного капіталу, тис. грн.</w:t>
            </w:r>
          </w:p>
        </w:tc>
        <w:tc>
          <w:tcPr>
            <w:tcW w:w="5989" w:type="dxa"/>
            <w:shd w:val="clear" w:color="auto" w:fill="auto"/>
            <w:vAlign w:val="center"/>
          </w:tcPr>
          <w:p w:rsidR="00D6670E" w:rsidRPr="00444B9C" w:rsidRDefault="00F92D8E" w:rsidP="00F92D8E">
            <w:pPr>
              <w:tabs>
                <w:tab w:val="left" w:pos="0"/>
              </w:tabs>
              <w:jc w:val="center"/>
              <w:rPr>
                <w:lang w:val="uk-UA"/>
              </w:rPr>
            </w:pPr>
            <w:r>
              <w:rPr>
                <w:color w:val="000000"/>
                <w:lang w:val="uk-UA"/>
              </w:rPr>
              <w:t>1</w:t>
            </w:r>
            <w:r w:rsidR="00A6537F" w:rsidRPr="00444B9C">
              <w:rPr>
                <w:color w:val="000000"/>
                <w:lang w:val="uk-UA"/>
              </w:rPr>
              <w:t xml:space="preserve">6 </w:t>
            </w:r>
            <w:r>
              <w:rPr>
                <w:color w:val="000000"/>
                <w:lang w:val="uk-UA"/>
              </w:rPr>
              <w:t>5</w:t>
            </w:r>
            <w:r w:rsidR="00A6537F" w:rsidRPr="00444B9C">
              <w:rPr>
                <w:color w:val="000000"/>
                <w:lang w:val="uk-UA"/>
              </w:rPr>
              <w:t>00</w:t>
            </w:r>
          </w:p>
        </w:tc>
      </w:tr>
      <w:tr w:rsidR="00D6670E" w:rsidRPr="00444B9C" w:rsidTr="00511C41">
        <w:trPr>
          <w:jc w:val="center"/>
        </w:trPr>
        <w:tc>
          <w:tcPr>
            <w:tcW w:w="3537" w:type="dxa"/>
            <w:vAlign w:val="center"/>
          </w:tcPr>
          <w:p w:rsidR="00D6670E" w:rsidRPr="00444B9C" w:rsidRDefault="00D6670E" w:rsidP="00DA67E2">
            <w:pPr>
              <w:tabs>
                <w:tab w:val="left" w:pos="0"/>
              </w:tabs>
              <w:autoSpaceDE w:val="0"/>
              <w:autoSpaceDN w:val="0"/>
              <w:adjustRightInd w:val="0"/>
              <w:jc w:val="center"/>
              <w:rPr>
                <w:color w:val="000000"/>
                <w:lang w:val="uk-UA"/>
              </w:rPr>
            </w:pPr>
            <w:r w:rsidRPr="00444B9C">
              <w:rPr>
                <w:color w:val="000000"/>
                <w:lang w:val="uk-UA"/>
              </w:rPr>
              <w:lastRenderedPageBreak/>
              <w:t>Вид діяльності по КВЕД-2010</w:t>
            </w:r>
          </w:p>
        </w:tc>
        <w:tc>
          <w:tcPr>
            <w:tcW w:w="5989" w:type="dxa"/>
            <w:vAlign w:val="center"/>
          </w:tcPr>
          <w:p w:rsidR="00F92D8E" w:rsidRPr="009C5C34" w:rsidRDefault="00F92D8E" w:rsidP="00F92D8E">
            <w:pPr>
              <w:contextualSpacing/>
              <w:rPr>
                <w:bCs/>
              </w:rPr>
            </w:pPr>
            <w:r w:rsidRPr="009C5C34">
              <w:rPr>
                <w:bCs/>
              </w:rPr>
              <w:t xml:space="preserve">64.19  </w:t>
            </w:r>
            <w:proofErr w:type="spellStart"/>
            <w:r w:rsidRPr="009C5C34">
              <w:rPr>
                <w:bCs/>
              </w:rPr>
              <w:t>Інші</w:t>
            </w:r>
            <w:proofErr w:type="spellEnd"/>
            <w:r w:rsidRPr="009C5C34">
              <w:rPr>
                <w:bCs/>
              </w:rPr>
              <w:t xml:space="preserve"> </w:t>
            </w:r>
            <w:proofErr w:type="spellStart"/>
            <w:r w:rsidRPr="009C5C34">
              <w:rPr>
                <w:bCs/>
              </w:rPr>
              <w:t>види</w:t>
            </w:r>
            <w:proofErr w:type="spellEnd"/>
            <w:r w:rsidRPr="009C5C34">
              <w:rPr>
                <w:bCs/>
              </w:rPr>
              <w:t xml:space="preserve"> грошового </w:t>
            </w:r>
            <w:proofErr w:type="spellStart"/>
            <w:r w:rsidRPr="009C5C34">
              <w:rPr>
                <w:bCs/>
              </w:rPr>
              <w:t>посередництва</w:t>
            </w:r>
            <w:proofErr w:type="spellEnd"/>
          </w:p>
          <w:p w:rsidR="00F92D8E" w:rsidRPr="009C5C34" w:rsidRDefault="00F92D8E" w:rsidP="00F92D8E">
            <w:pPr>
              <w:contextualSpacing/>
              <w:rPr>
                <w:bCs/>
              </w:rPr>
            </w:pPr>
            <w:r w:rsidRPr="009C5C34">
              <w:rPr>
                <w:bCs/>
              </w:rPr>
              <w:t xml:space="preserve">64.91 </w:t>
            </w:r>
            <w:proofErr w:type="spellStart"/>
            <w:r w:rsidRPr="009C5C34">
              <w:rPr>
                <w:bCs/>
              </w:rPr>
              <w:t>Фінансовий</w:t>
            </w:r>
            <w:proofErr w:type="spellEnd"/>
            <w:r w:rsidRPr="009C5C34">
              <w:rPr>
                <w:bCs/>
              </w:rPr>
              <w:t xml:space="preserve"> </w:t>
            </w:r>
            <w:proofErr w:type="spellStart"/>
            <w:r w:rsidRPr="009C5C34">
              <w:rPr>
                <w:bCs/>
              </w:rPr>
              <w:t>лізинг</w:t>
            </w:r>
            <w:proofErr w:type="spellEnd"/>
            <w:r w:rsidRPr="009C5C34">
              <w:rPr>
                <w:bCs/>
              </w:rPr>
              <w:t xml:space="preserve"> </w:t>
            </w:r>
          </w:p>
          <w:p w:rsidR="00F92D8E" w:rsidRPr="009C5C34" w:rsidRDefault="00F92D8E" w:rsidP="00F92D8E">
            <w:pPr>
              <w:contextualSpacing/>
              <w:rPr>
                <w:bCs/>
              </w:rPr>
            </w:pPr>
            <w:r w:rsidRPr="009C5C34">
              <w:rPr>
                <w:bCs/>
              </w:rPr>
              <w:t xml:space="preserve">64.99 </w:t>
            </w:r>
            <w:proofErr w:type="spellStart"/>
            <w:r w:rsidRPr="009C5C34">
              <w:rPr>
                <w:bCs/>
              </w:rPr>
              <w:t>Надання</w:t>
            </w:r>
            <w:proofErr w:type="spellEnd"/>
            <w:r w:rsidRPr="009C5C34">
              <w:rPr>
                <w:bCs/>
              </w:rPr>
              <w:t xml:space="preserve"> </w:t>
            </w:r>
            <w:proofErr w:type="spellStart"/>
            <w:r w:rsidRPr="009C5C34">
              <w:rPr>
                <w:bCs/>
              </w:rPr>
              <w:t>інших</w:t>
            </w:r>
            <w:proofErr w:type="spellEnd"/>
            <w:r w:rsidRPr="009C5C34">
              <w:rPr>
                <w:bCs/>
              </w:rPr>
              <w:t xml:space="preserve"> </w:t>
            </w:r>
            <w:proofErr w:type="spellStart"/>
            <w:r w:rsidRPr="009C5C34">
              <w:rPr>
                <w:bCs/>
              </w:rPr>
              <w:t>фінансових</w:t>
            </w:r>
            <w:proofErr w:type="spellEnd"/>
            <w:r w:rsidRPr="009C5C34">
              <w:rPr>
                <w:bCs/>
              </w:rPr>
              <w:t xml:space="preserve"> </w:t>
            </w:r>
            <w:proofErr w:type="spellStart"/>
            <w:r w:rsidRPr="009C5C34">
              <w:rPr>
                <w:bCs/>
              </w:rPr>
              <w:t>послу</w:t>
            </w:r>
            <w:proofErr w:type="gramStart"/>
            <w:r w:rsidRPr="009C5C34">
              <w:rPr>
                <w:bCs/>
              </w:rPr>
              <w:t>г</w:t>
            </w:r>
            <w:proofErr w:type="spellEnd"/>
            <w:r w:rsidRPr="009C5C34">
              <w:rPr>
                <w:bCs/>
              </w:rPr>
              <w:t>(</w:t>
            </w:r>
            <w:proofErr w:type="spellStart"/>
            <w:proofErr w:type="gramEnd"/>
            <w:r w:rsidRPr="009C5C34">
              <w:rPr>
                <w:bCs/>
              </w:rPr>
              <w:t>крім</w:t>
            </w:r>
            <w:proofErr w:type="spellEnd"/>
            <w:r w:rsidRPr="009C5C34">
              <w:rPr>
                <w:bCs/>
              </w:rPr>
              <w:t xml:space="preserve"> </w:t>
            </w:r>
            <w:proofErr w:type="spellStart"/>
            <w:r w:rsidRPr="009C5C34">
              <w:rPr>
                <w:bCs/>
              </w:rPr>
              <w:t>страхування</w:t>
            </w:r>
            <w:proofErr w:type="spellEnd"/>
            <w:r w:rsidRPr="009C5C34">
              <w:rPr>
                <w:bCs/>
              </w:rPr>
              <w:t xml:space="preserve"> та </w:t>
            </w:r>
            <w:proofErr w:type="spellStart"/>
            <w:r w:rsidRPr="009C5C34">
              <w:rPr>
                <w:bCs/>
              </w:rPr>
              <w:t>пенсійного</w:t>
            </w:r>
            <w:proofErr w:type="spellEnd"/>
            <w:r w:rsidRPr="009C5C34">
              <w:rPr>
                <w:bCs/>
              </w:rPr>
              <w:t xml:space="preserve"> </w:t>
            </w:r>
            <w:proofErr w:type="spellStart"/>
            <w:r w:rsidRPr="009C5C34">
              <w:rPr>
                <w:bCs/>
              </w:rPr>
              <w:t>забезпечення</w:t>
            </w:r>
            <w:proofErr w:type="spellEnd"/>
            <w:r w:rsidRPr="009C5C34">
              <w:rPr>
                <w:bCs/>
              </w:rPr>
              <w:t xml:space="preserve">), </w:t>
            </w:r>
            <w:proofErr w:type="spellStart"/>
            <w:r w:rsidRPr="009C5C34">
              <w:rPr>
                <w:bCs/>
              </w:rPr>
              <w:t>н.в.і.у</w:t>
            </w:r>
            <w:proofErr w:type="spellEnd"/>
            <w:r w:rsidRPr="009C5C34">
              <w:rPr>
                <w:bCs/>
              </w:rPr>
              <w:t xml:space="preserve">. </w:t>
            </w:r>
          </w:p>
          <w:p w:rsidR="00F92D8E" w:rsidRPr="009C5C34" w:rsidRDefault="00F92D8E" w:rsidP="00F92D8E">
            <w:pPr>
              <w:contextualSpacing/>
              <w:rPr>
                <w:bCs/>
              </w:rPr>
            </w:pPr>
            <w:r w:rsidRPr="009C5C34">
              <w:rPr>
                <w:bCs/>
              </w:rPr>
              <w:t xml:space="preserve">66.19 </w:t>
            </w:r>
            <w:proofErr w:type="spellStart"/>
            <w:r w:rsidRPr="009C5C34">
              <w:rPr>
                <w:bCs/>
              </w:rPr>
              <w:t>Інша</w:t>
            </w:r>
            <w:proofErr w:type="spellEnd"/>
            <w:r w:rsidRPr="009C5C34">
              <w:rPr>
                <w:bCs/>
              </w:rPr>
              <w:t xml:space="preserve"> </w:t>
            </w:r>
            <w:proofErr w:type="spellStart"/>
            <w:r w:rsidRPr="009C5C34">
              <w:rPr>
                <w:bCs/>
              </w:rPr>
              <w:t>допоміжна</w:t>
            </w:r>
            <w:proofErr w:type="spellEnd"/>
            <w:r w:rsidRPr="009C5C34">
              <w:rPr>
                <w:bCs/>
              </w:rPr>
              <w:t xml:space="preserve"> </w:t>
            </w:r>
            <w:proofErr w:type="spellStart"/>
            <w:r w:rsidRPr="009C5C34">
              <w:rPr>
                <w:bCs/>
              </w:rPr>
              <w:t>діяльність</w:t>
            </w:r>
            <w:proofErr w:type="spellEnd"/>
            <w:r w:rsidRPr="009C5C34">
              <w:rPr>
                <w:bCs/>
              </w:rPr>
              <w:t xml:space="preserve"> у </w:t>
            </w:r>
            <w:proofErr w:type="spellStart"/>
            <w:r w:rsidRPr="009C5C34">
              <w:rPr>
                <w:bCs/>
              </w:rPr>
              <w:t>сфері</w:t>
            </w:r>
            <w:proofErr w:type="spellEnd"/>
            <w:r w:rsidRPr="009C5C34">
              <w:rPr>
                <w:bCs/>
              </w:rPr>
              <w:t xml:space="preserve"> </w:t>
            </w:r>
            <w:proofErr w:type="spellStart"/>
            <w:r w:rsidRPr="009C5C34">
              <w:rPr>
                <w:bCs/>
              </w:rPr>
              <w:t>фінансових</w:t>
            </w:r>
            <w:proofErr w:type="spellEnd"/>
            <w:r w:rsidRPr="009C5C34">
              <w:rPr>
                <w:bCs/>
              </w:rPr>
              <w:t xml:space="preserve"> </w:t>
            </w:r>
            <w:proofErr w:type="spellStart"/>
            <w:r w:rsidRPr="009C5C34">
              <w:rPr>
                <w:bCs/>
              </w:rPr>
              <w:t>послуг</w:t>
            </w:r>
            <w:proofErr w:type="spellEnd"/>
            <w:r w:rsidRPr="009C5C34">
              <w:rPr>
                <w:bCs/>
              </w:rPr>
              <w:t xml:space="preserve">, </w:t>
            </w:r>
            <w:proofErr w:type="spellStart"/>
            <w:proofErr w:type="gramStart"/>
            <w:r w:rsidRPr="009C5C34">
              <w:rPr>
                <w:bCs/>
              </w:rPr>
              <w:t>кр</w:t>
            </w:r>
            <w:proofErr w:type="gramEnd"/>
            <w:r w:rsidRPr="009C5C34">
              <w:rPr>
                <w:bCs/>
              </w:rPr>
              <w:t>ім</w:t>
            </w:r>
            <w:proofErr w:type="spellEnd"/>
            <w:r w:rsidRPr="009C5C34">
              <w:rPr>
                <w:bCs/>
              </w:rPr>
              <w:t xml:space="preserve"> </w:t>
            </w:r>
            <w:proofErr w:type="spellStart"/>
            <w:r w:rsidRPr="009C5C34">
              <w:rPr>
                <w:bCs/>
              </w:rPr>
              <w:t>страхування</w:t>
            </w:r>
            <w:proofErr w:type="spellEnd"/>
            <w:r w:rsidRPr="009C5C34">
              <w:rPr>
                <w:bCs/>
              </w:rPr>
              <w:t xml:space="preserve"> та </w:t>
            </w:r>
            <w:proofErr w:type="spellStart"/>
            <w:r w:rsidRPr="009C5C34">
              <w:rPr>
                <w:bCs/>
              </w:rPr>
              <w:t>пенсійного</w:t>
            </w:r>
            <w:proofErr w:type="spellEnd"/>
            <w:r w:rsidRPr="009C5C34">
              <w:rPr>
                <w:bCs/>
              </w:rPr>
              <w:t xml:space="preserve"> </w:t>
            </w:r>
            <w:proofErr w:type="spellStart"/>
            <w:r w:rsidRPr="009C5C34">
              <w:rPr>
                <w:bCs/>
              </w:rPr>
              <w:t>забезпечення</w:t>
            </w:r>
            <w:proofErr w:type="spellEnd"/>
          </w:p>
          <w:p w:rsidR="00F92D8E" w:rsidRPr="009C5C34" w:rsidRDefault="00F92D8E" w:rsidP="00F92D8E">
            <w:pPr>
              <w:contextualSpacing/>
              <w:rPr>
                <w:bCs/>
              </w:rPr>
            </w:pPr>
            <w:r w:rsidRPr="009C5C34">
              <w:rPr>
                <w:bCs/>
              </w:rPr>
              <w:t xml:space="preserve">41.10 </w:t>
            </w:r>
            <w:proofErr w:type="spellStart"/>
            <w:r w:rsidRPr="009C5C34">
              <w:rPr>
                <w:bCs/>
              </w:rPr>
              <w:t>Організація</w:t>
            </w:r>
            <w:proofErr w:type="spellEnd"/>
            <w:r w:rsidRPr="009C5C34">
              <w:rPr>
                <w:bCs/>
              </w:rPr>
              <w:t xml:space="preserve"> </w:t>
            </w:r>
            <w:proofErr w:type="spellStart"/>
            <w:r w:rsidRPr="009C5C34">
              <w:rPr>
                <w:bCs/>
              </w:rPr>
              <w:t>будівництва</w:t>
            </w:r>
            <w:proofErr w:type="spellEnd"/>
            <w:r w:rsidRPr="009C5C34">
              <w:rPr>
                <w:bCs/>
              </w:rPr>
              <w:t xml:space="preserve"> </w:t>
            </w:r>
            <w:proofErr w:type="spellStart"/>
            <w:r w:rsidRPr="009C5C34">
              <w:rPr>
                <w:bCs/>
              </w:rPr>
              <w:t>будівель</w:t>
            </w:r>
            <w:proofErr w:type="spellEnd"/>
          </w:p>
          <w:p w:rsidR="00D6670E" w:rsidRPr="00444B9C" w:rsidRDefault="00D6670E" w:rsidP="00F92D8E">
            <w:pPr>
              <w:tabs>
                <w:tab w:val="left" w:pos="0"/>
              </w:tabs>
              <w:spacing w:line="317" w:lineRule="exact"/>
              <w:ind w:left="725" w:right="14"/>
              <w:jc w:val="both"/>
              <w:rPr>
                <w:color w:val="000000"/>
                <w:lang w:val="uk-UA"/>
              </w:rPr>
            </w:pPr>
          </w:p>
        </w:tc>
      </w:tr>
      <w:tr w:rsidR="00A6537F" w:rsidRPr="00346464" w:rsidTr="00511C41">
        <w:trPr>
          <w:jc w:val="center"/>
        </w:trPr>
        <w:tc>
          <w:tcPr>
            <w:tcW w:w="3537" w:type="dxa"/>
            <w:vAlign w:val="center"/>
          </w:tcPr>
          <w:p w:rsidR="00A6537F" w:rsidRPr="00444B9C" w:rsidRDefault="00A6537F" w:rsidP="00DA67E2">
            <w:pPr>
              <w:tabs>
                <w:tab w:val="left" w:pos="0"/>
              </w:tabs>
              <w:autoSpaceDE w:val="0"/>
              <w:autoSpaceDN w:val="0"/>
              <w:adjustRightInd w:val="0"/>
              <w:jc w:val="center"/>
              <w:rPr>
                <w:color w:val="000000"/>
                <w:lang w:val="uk-UA"/>
              </w:rPr>
            </w:pPr>
            <w:r w:rsidRPr="00444B9C">
              <w:rPr>
                <w:color w:val="000000"/>
                <w:lang w:val="uk-UA"/>
              </w:rPr>
              <w:t>Ліцензія</w:t>
            </w:r>
          </w:p>
          <w:p w:rsidR="00A6537F" w:rsidRPr="00444B9C" w:rsidRDefault="00A6537F" w:rsidP="00DA67E2">
            <w:pPr>
              <w:tabs>
                <w:tab w:val="left" w:pos="0"/>
              </w:tabs>
              <w:autoSpaceDE w:val="0"/>
              <w:autoSpaceDN w:val="0"/>
              <w:adjustRightInd w:val="0"/>
              <w:jc w:val="center"/>
              <w:rPr>
                <w:color w:val="000000"/>
                <w:lang w:val="uk-UA"/>
              </w:rPr>
            </w:pPr>
            <w:r w:rsidRPr="00444B9C">
              <w:rPr>
                <w:color w:val="000000"/>
                <w:lang w:val="uk-UA"/>
              </w:rPr>
              <w:t>Державної комісії що здійснює державне регулювання у сфері ринків фінансових послуг</w:t>
            </w:r>
          </w:p>
        </w:tc>
        <w:tc>
          <w:tcPr>
            <w:tcW w:w="5989" w:type="dxa"/>
            <w:vAlign w:val="center"/>
          </w:tcPr>
          <w:p w:rsidR="00F92D8E" w:rsidRPr="009C5C34" w:rsidRDefault="00F92D8E" w:rsidP="00F92D8E">
            <w:pPr>
              <w:autoSpaceDE w:val="0"/>
              <w:autoSpaceDN w:val="0"/>
              <w:adjustRightInd w:val="0"/>
              <w:ind w:left="851"/>
              <w:contextualSpacing/>
              <w:jc w:val="both"/>
              <w:rPr>
                <w:lang w:val="uk-UA"/>
              </w:rPr>
            </w:pPr>
            <w:r w:rsidRPr="009C5C34">
              <w:rPr>
                <w:lang w:val="uk-UA"/>
              </w:rPr>
              <w:t>Ліцензія Серія АВ № 614873, НАЦІОНАЛЬНОЇ КОМІСІЇ, ЩО ЗДІЙСНЮЄ ДЕРЖАВНЕ РЕГУЛЮВАННЯ У СФЕРІ РИНКІВ ФІНАНСОВИХ ПОСЛУГ</w:t>
            </w:r>
            <w:r w:rsidRPr="009C5C34">
              <w:rPr>
                <w:rStyle w:val="afd"/>
                <w:lang w:val="uk-UA"/>
              </w:rPr>
              <w:t>,</w:t>
            </w:r>
            <w:r w:rsidRPr="009C5C34">
              <w:rPr>
                <w:lang w:val="uk-UA"/>
              </w:rPr>
              <w:t xml:space="preserve"> діяльність із залучення коштів установників управління майном для фінансування об’єктів будівництва та/або здійснення операцій з нерухомістю. Рішення про видачу ліцензії від 25.12.2012року №2890, термін дії до 08.01.2018</w:t>
            </w:r>
            <w:r w:rsidR="00F642E7">
              <w:rPr>
                <w:lang w:val="uk-UA"/>
              </w:rPr>
              <w:t xml:space="preserve"> </w:t>
            </w:r>
            <w:r w:rsidRPr="009C5C34">
              <w:rPr>
                <w:lang w:val="uk-UA"/>
              </w:rPr>
              <w:t>року.</w:t>
            </w:r>
          </w:p>
          <w:p w:rsidR="00A6537F" w:rsidRPr="00444B9C" w:rsidRDefault="00A6537F" w:rsidP="00A6537F">
            <w:pPr>
              <w:tabs>
                <w:tab w:val="left" w:pos="0"/>
              </w:tabs>
              <w:spacing w:line="317" w:lineRule="exact"/>
              <w:ind w:right="14"/>
              <w:jc w:val="center"/>
              <w:rPr>
                <w:color w:val="000000"/>
                <w:lang w:val="uk-UA"/>
              </w:rPr>
            </w:pPr>
          </w:p>
        </w:tc>
      </w:tr>
      <w:tr w:rsidR="00A6537F" w:rsidRPr="00444B9C" w:rsidTr="00511C41">
        <w:trPr>
          <w:jc w:val="center"/>
        </w:trPr>
        <w:tc>
          <w:tcPr>
            <w:tcW w:w="3537" w:type="dxa"/>
            <w:vAlign w:val="center"/>
          </w:tcPr>
          <w:p w:rsidR="00A6537F" w:rsidRPr="00444B9C" w:rsidRDefault="00A6537F" w:rsidP="00DA67E2">
            <w:pPr>
              <w:tabs>
                <w:tab w:val="left" w:pos="0"/>
              </w:tabs>
              <w:autoSpaceDE w:val="0"/>
              <w:autoSpaceDN w:val="0"/>
              <w:adjustRightInd w:val="0"/>
              <w:jc w:val="center"/>
              <w:rPr>
                <w:color w:val="000000"/>
                <w:lang w:val="uk-UA"/>
              </w:rPr>
            </w:pPr>
            <w:r w:rsidRPr="00444B9C">
              <w:rPr>
                <w:color w:val="000000"/>
                <w:lang w:val="uk-UA"/>
              </w:rPr>
              <w:t>Свідоцтво про реєстрацію фінансової установи</w:t>
            </w:r>
          </w:p>
          <w:p w:rsidR="006D0585" w:rsidRPr="00444B9C" w:rsidRDefault="006D0585" w:rsidP="00F92D8E">
            <w:pPr>
              <w:tabs>
                <w:tab w:val="left" w:pos="0"/>
              </w:tabs>
              <w:autoSpaceDE w:val="0"/>
              <w:autoSpaceDN w:val="0"/>
              <w:adjustRightInd w:val="0"/>
              <w:jc w:val="center"/>
              <w:rPr>
                <w:color w:val="000000"/>
                <w:lang w:val="uk-UA"/>
              </w:rPr>
            </w:pPr>
            <w:r w:rsidRPr="00444B9C">
              <w:rPr>
                <w:color w:val="000000"/>
                <w:lang w:val="uk-UA"/>
              </w:rPr>
              <w:t xml:space="preserve">ФК № </w:t>
            </w:r>
            <w:r w:rsidR="00F92D8E">
              <w:rPr>
                <w:color w:val="000000"/>
                <w:lang w:val="uk-UA"/>
              </w:rPr>
              <w:t>32</w:t>
            </w:r>
          </w:p>
        </w:tc>
        <w:tc>
          <w:tcPr>
            <w:tcW w:w="5989" w:type="dxa"/>
            <w:vAlign w:val="center"/>
          </w:tcPr>
          <w:p w:rsidR="00F92D8E" w:rsidRPr="009C5C34" w:rsidRDefault="00F92D8E" w:rsidP="00F92D8E">
            <w:pPr>
              <w:ind w:left="851"/>
              <w:contextualSpacing/>
              <w:jc w:val="both"/>
            </w:pPr>
            <w:r w:rsidRPr="00F92D8E">
              <w:rPr>
                <w:lang w:val="uk-UA"/>
              </w:rPr>
              <w:t xml:space="preserve">Свідоцтво про реєстрацію фінансової установи </w:t>
            </w:r>
            <w:r w:rsidRPr="00F92D8E">
              <w:rPr>
                <w:bCs/>
                <w:lang w:val="uk-UA"/>
              </w:rPr>
              <w:t>ТОВ «ФК «Толока»</w:t>
            </w:r>
            <w:r w:rsidRPr="00F92D8E">
              <w:rPr>
                <w:b/>
                <w:bCs/>
                <w:lang w:val="uk-UA"/>
              </w:rPr>
              <w:t xml:space="preserve"> </w:t>
            </w:r>
            <w:r w:rsidRPr="00F92D8E">
              <w:rPr>
                <w:lang w:val="uk-UA"/>
              </w:rPr>
              <w:t xml:space="preserve"> серія та номер ФК №32 від 17.09.2004року, 17.09.2004 р. термін дії Свідоцтва необмежений. </w:t>
            </w:r>
            <w:r w:rsidRPr="009C5C34">
              <w:t xml:space="preserve">Код </w:t>
            </w:r>
            <w:proofErr w:type="spellStart"/>
            <w:r w:rsidRPr="009C5C34">
              <w:t>фінансової</w:t>
            </w:r>
            <w:proofErr w:type="spellEnd"/>
            <w:r w:rsidRPr="009C5C34">
              <w:t xml:space="preserve"> установи 13.</w:t>
            </w:r>
          </w:p>
          <w:p w:rsidR="00A6537F" w:rsidRPr="00444B9C" w:rsidRDefault="00A6537F" w:rsidP="00A6537F">
            <w:pPr>
              <w:tabs>
                <w:tab w:val="left" w:pos="0"/>
              </w:tabs>
              <w:spacing w:line="317" w:lineRule="exact"/>
              <w:ind w:right="14"/>
              <w:jc w:val="center"/>
              <w:rPr>
                <w:color w:val="000000"/>
                <w:lang w:val="uk-UA"/>
              </w:rPr>
            </w:pPr>
          </w:p>
        </w:tc>
      </w:tr>
      <w:tr w:rsidR="00D6670E" w:rsidRPr="00444B9C" w:rsidTr="00511C41">
        <w:trPr>
          <w:jc w:val="center"/>
        </w:trPr>
        <w:tc>
          <w:tcPr>
            <w:tcW w:w="3537" w:type="dxa"/>
            <w:vAlign w:val="center"/>
          </w:tcPr>
          <w:p w:rsidR="00D6670E" w:rsidRPr="00444B9C" w:rsidRDefault="00D6670E" w:rsidP="00DA67E2">
            <w:pPr>
              <w:tabs>
                <w:tab w:val="left" w:pos="0"/>
              </w:tabs>
              <w:jc w:val="center"/>
              <w:rPr>
                <w:color w:val="000000"/>
                <w:lang w:val="uk-UA"/>
              </w:rPr>
            </w:pPr>
            <w:r w:rsidRPr="00444B9C">
              <w:rPr>
                <w:noProof/>
                <w:color w:val="000000"/>
                <w:lang w:val="uk-UA"/>
              </w:rPr>
              <w:t>Середня кількість працівників Товариства протягом звітного періоду</w:t>
            </w:r>
          </w:p>
        </w:tc>
        <w:tc>
          <w:tcPr>
            <w:tcW w:w="5989" w:type="dxa"/>
            <w:vAlign w:val="center"/>
          </w:tcPr>
          <w:p w:rsidR="00D6670E" w:rsidRPr="00444B9C" w:rsidRDefault="00F92D8E" w:rsidP="00DA67E2">
            <w:pPr>
              <w:tabs>
                <w:tab w:val="left" w:pos="0"/>
              </w:tabs>
              <w:jc w:val="center"/>
              <w:rPr>
                <w:color w:val="000000"/>
                <w:highlight w:val="yellow"/>
                <w:lang w:val="uk-UA"/>
              </w:rPr>
            </w:pPr>
            <w:r>
              <w:rPr>
                <w:color w:val="000000"/>
                <w:lang w:val="uk-UA"/>
              </w:rPr>
              <w:t>6</w:t>
            </w:r>
          </w:p>
        </w:tc>
      </w:tr>
      <w:tr w:rsidR="00D6670E" w:rsidRPr="00444B9C" w:rsidTr="00511C41">
        <w:trPr>
          <w:jc w:val="center"/>
        </w:trPr>
        <w:tc>
          <w:tcPr>
            <w:tcW w:w="3537" w:type="dxa"/>
            <w:vAlign w:val="center"/>
          </w:tcPr>
          <w:p w:rsidR="00D6670E" w:rsidRPr="00444B9C" w:rsidRDefault="00D6670E" w:rsidP="00DA67E2">
            <w:pPr>
              <w:tabs>
                <w:tab w:val="left" w:pos="0"/>
              </w:tabs>
              <w:jc w:val="center"/>
              <w:rPr>
                <w:noProof/>
                <w:color w:val="000000"/>
                <w:lang w:val="uk-UA"/>
              </w:rPr>
            </w:pPr>
            <w:r w:rsidRPr="00444B9C">
              <w:rPr>
                <w:noProof/>
                <w:color w:val="000000"/>
                <w:lang w:val="uk-UA"/>
              </w:rPr>
              <w:t>Керівник</w:t>
            </w:r>
          </w:p>
        </w:tc>
        <w:tc>
          <w:tcPr>
            <w:tcW w:w="5989" w:type="dxa"/>
          </w:tcPr>
          <w:p w:rsidR="00D6670E" w:rsidRPr="00444B9C" w:rsidRDefault="00F92D8E" w:rsidP="00DA67E2">
            <w:pPr>
              <w:tabs>
                <w:tab w:val="left" w:pos="0"/>
              </w:tabs>
              <w:jc w:val="center"/>
            </w:pPr>
            <w:r>
              <w:rPr>
                <w:lang w:val="uk-UA"/>
              </w:rPr>
              <w:t>Скиба Ю</w:t>
            </w:r>
            <w:r w:rsidRPr="00444B9C">
              <w:rPr>
                <w:lang w:val="uk-UA"/>
              </w:rPr>
              <w:t>.</w:t>
            </w:r>
            <w:r>
              <w:rPr>
                <w:lang w:val="uk-UA"/>
              </w:rPr>
              <w:t>С.</w:t>
            </w:r>
          </w:p>
        </w:tc>
      </w:tr>
    </w:tbl>
    <w:p w:rsidR="00DA67E2" w:rsidRPr="00444B9C" w:rsidRDefault="00DA67E2" w:rsidP="00DA67E2">
      <w:pPr>
        <w:shd w:val="clear" w:color="auto" w:fill="FFFFFF"/>
        <w:tabs>
          <w:tab w:val="left" w:pos="0"/>
        </w:tabs>
        <w:jc w:val="both"/>
        <w:rPr>
          <w:iCs/>
          <w:color w:val="000000"/>
          <w:lang w:val="uk-UA"/>
        </w:rPr>
      </w:pPr>
    </w:p>
    <w:p w:rsidR="00DB447D" w:rsidRPr="00444B9C" w:rsidRDefault="00F92D8E" w:rsidP="00DA67E2">
      <w:pPr>
        <w:shd w:val="clear" w:color="auto" w:fill="FFFFFF"/>
        <w:tabs>
          <w:tab w:val="left" w:pos="0"/>
        </w:tabs>
        <w:jc w:val="both"/>
        <w:rPr>
          <w:iCs/>
          <w:color w:val="000000"/>
          <w:lang w:val="uk-UA"/>
        </w:rPr>
      </w:pPr>
      <w:r>
        <w:rPr>
          <w:iCs/>
          <w:color w:val="000000"/>
          <w:lang w:val="uk-UA"/>
        </w:rPr>
        <w:t>П</w:t>
      </w:r>
      <w:r w:rsidR="00DB447D" w:rsidRPr="00444B9C">
        <w:rPr>
          <w:iCs/>
          <w:color w:val="000000"/>
          <w:lang w:val="uk-UA"/>
        </w:rPr>
        <w:t xml:space="preserve">ротягом 2016 року Товариством </w:t>
      </w:r>
      <w:r>
        <w:rPr>
          <w:iCs/>
          <w:color w:val="000000"/>
          <w:lang w:val="uk-UA"/>
        </w:rPr>
        <w:t xml:space="preserve">здійснювало </w:t>
      </w:r>
      <w:r w:rsidR="00DB447D" w:rsidRPr="00444B9C">
        <w:rPr>
          <w:iCs/>
          <w:color w:val="000000"/>
          <w:lang w:val="uk-UA"/>
        </w:rPr>
        <w:t xml:space="preserve"> діяльність </w:t>
      </w:r>
      <w:r w:rsidRPr="009C5C34">
        <w:rPr>
          <w:lang w:val="uk-UA"/>
        </w:rPr>
        <w:t>із залучення коштів установників управління майном для фінансування об’єктів будівництва</w:t>
      </w:r>
      <w:r>
        <w:rPr>
          <w:lang w:val="uk-UA"/>
        </w:rPr>
        <w:t>.</w:t>
      </w:r>
      <w:r w:rsidRPr="009C5C34">
        <w:rPr>
          <w:lang w:val="uk-UA"/>
        </w:rPr>
        <w:t xml:space="preserve"> </w:t>
      </w:r>
    </w:p>
    <w:p w:rsidR="007522F2" w:rsidRPr="00444B9C" w:rsidRDefault="007522F2" w:rsidP="00DA67E2">
      <w:pPr>
        <w:tabs>
          <w:tab w:val="left" w:pos="0"/>
        </w:tabs>
        <w:autoSpaceDE w:val="0"/>
        <w:autoSpaceDN w:val="0"/>
        <w:adjustRightInd w:val="0"/>
        <w:jc w:val="both"/>
        <w:rPr>
          <w:lang w:val="uk-UA"/>
        </w:rPr>
      </w:pPr>
    </w:p>
    <w:p w:rsidR="00D75CB5" w:rsidRPr="00444B9C" w:rsidRDefault="00990F21" w:rsidP="00DA67E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pacing w:val="-10"/>
          <w:lang w:val="uk-UA"/>
        </w:rPr>
      </w:pPr>
      <w:r w:rsidRPr="00444B9C">
        <w:rPr>
          <w:b/>
          <w:color w:val="000000"/>
          <w:spacing w:val="-10"/>
          <w:lang w:val="uk-UA"/>
        </w:rPr>
        <w:t xml:space="preserve">2.2. </w:t>
      </w:r>
      <w:r w:rsidR="00D75CB5" w:rsidRPr="00444B9C">
        <w:rPr>
          <w:b/>
          <w:color w:val="000000"/>
          <w:spacing w:val="-10"/>
          <w:lang w:val="uk-UA"/>
        </w:rPr>
        <w:t>Основні відомості про аудиторську перевірку</w:t>
      </w:r>
    </w:p>
    <w:p w:rsidR="00DA67E2" w:rsidRPr="00444B9C" w:rsidRDefault="00DA67E2" w:rsidP="00DA67E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D75CB5" w:rsidRPr="00444B9C" w:rsidRDefault="00D75CB5" w:rsidP="00477A36">
      <w:pPr>
        <w:pStyle w:val="Default"/>
        <w:tabs>
          <w:tab w:val="left" w:pos="0"/>
        </w:tabs>
        <w:rPr>
          <w:lang w:val="uk-UA"/>
        </w:rPr>
      </w:pPr>
      <w:r w:rsidRPr="00444B9C">
        <w:rPr>
          <w:lang w:val="uk-UA"/>
        </w:rPr>
        <w:t>Ми провели аудит фінансової звітності</w:t>
      </w:r>
      <w:r w:rsidRPr="00444B9C">
        <w:rPr>
          <w:b/>
          <w:i/>
          <w:iCs/>
          <w:lang w:val="uk-UA"/>
        </w:rPr>
        <w:t xml:space="preserve"> </w:t>
      </w:r>
      <w:r w:rsidRPr="00444B9C">
        <w:rPr>
          <w:lang w:val="uk-UA"/>
        </w:rPr>
        <w:t>Товариства</w:t>
      </w:r>
      <w:r w:rsidRPr="00444B9C">
        <w:rPr>
          <w:smallCaps/>
          <w:lang w:val="uk-UA"/>
        </w:rPr>
        <w:t>,</w:t>
      </w:r>
      <w:r w:rsidRPr="00444B9C">
        <w:rPr>
          <w:lang w:val="uk-UA"/>
        </w:rPr>
        <w:t xml:space="preserve"> відповідно до вимог Міжнародних стандартів контролю якості, аудиту, огляду, іншого надання впевненості та супутніх послуг (</w:t>
      </w:r>
      <w:proofErr w:type="spellStart"/>
      <w:r w:rsidRPr="00444B9C">
        <w:rPr>
          <w:lang w:val="uk-UA"/>
        </w:rPr>
        <w:t>далі-МСА</w:t>
      </w:r>
      <w:proofErr w:type="spellEnd"/>
      <w:r w:rsidRPr="00444B9C">
        <w:rPr>
          <w:lang w:val="uk-UA"/>
        </w:rPr>
        <w:t xml:space="preserve">), зокрема до МСА 700 «Формулювання думки та надання звіту щодо фінансової звітності», МСА 705 «Модифікація думки у звіті незалежного аудитора», МСА 706 «Пояснювальні параграфи та параграфи з інших питань у звіті незалежного аудитора», МСА710 «Порівняльна інформація – відповідні показники і порівняльна фінансова звітність», МСА 720 «Відповідальність аудитора щодо іншої інформації в документах, що містять перевірену аудитором фінансову звітність», МСА 250 «Розгляд законодавчих та нормативних актів при аудиті фінансової звітності», </w:t>
      </w:r>
      <w:r w:rsidRPr="00444B9C">
        <w:rPr>
          <w:bCs/>
          <w:iCs/>
          <w:lang w:val="uk-UA"/>
        </w:rPr>
        <w:t xml:space="preserve">МСА </w:t>
      </w:r>
      <w:r w:rsidR="00477A36" w:rsidRPr="00444B9C">
        <w:rPr>
          <w:lang w:val="uk-UA"/>
        </w:rPr>
        <w:t>8</w:t>
      </w:r>
      <w:r w:rsidRPr="00444B9C">
        <w:rPr>
          <w:lang w:val="uk-UA"/>
        </w:rPr>
        <w:t xml:space="preserve">00 </w:t>
      </w:r>
      <w:r w:rsidR="00477A36" w:rsidRPr="00444B9C">
        <w:rPr>
          <w:bCs/>
          <w:iCs/>
          <w:lang w:val="uk-UA"/>
        </w:rPr>
        <w:t>«</w:t>
      </w:r>
      <w:r w:rsidR="00477A36" w:rsidRPr="00444B9C">
        <w:rPr>
          <w:rStyle w:val="FontStyle288"/>
          <w:sz w:val="24"/>
          <w:szCs w:val="24"/>
          <w:lang w:val="uk-UA"/>
        </w:rPr>
        <w:t>Особливі міркування — аудити фінансової звітності, складеної відповідно до концептуальних основ спеціального</w:t>
      </w:r>
      <w:r w:rsidR="00477A36" w:rsidRPr="00444B9C">
        <w:rPr>
          <w:rStyle w:val="FontStyle288"/>
          <w:sz w:val="24"/>
          <w:szCs w:val="24"/>
          <w:lang w:val="uk-UA"/>
        </w:rPr>
        <w:br/>
        <w:t>призначення</w:t>
      </w:r>
      <w:r w:rsidR="00477A36" w:rsidRPr="00444B9C">
        <w:rPr>
          <w:bCs/>
          <w:iCs/>
          <w:lang w:val="uk-UA"/>
        </w:rPr>
        <w:t>»</w:t>
      </w:r>
      <w:r w:rsidRPr="00444B9C">
        <w:rPr>
          <w:bCs/>
          <w:iCs/>
          <w:lang w:val="uk-UA"/>
        </w:rPr>
        <w:t xml:space="preserve">, </w:t>
      </w:r>
      <w:r w:rsidRPr="00444B9C">
        <w:rPr>
          <w:lang w:val="uk-UA"/>
        </w:rPr>
        <w:t>МСА 550 «Пов’язані сторони», МСА 610 «Використання роботи внутрішніх аудиторів»</w:t>
      </w:r>
      <w:r w:rsidR="00DA67E2" w:rsidRPr="00444B9C">
        <w:rPr>
          <w:lang w:val="uk-UA"/>
        </w:rPr>
        <w:t>, інших стандартів.</w:t>
      </w:r>
    </w:p>
    <w:p w:rsidR="00D75CB5" w:rsidRPr="00444B9C" w:rsidRDefault="00DA67E2" w:rsidP="00DA67E2">
      <w:pPr>
        <w:pStyle w:val="aa"/>
        <w:tabs>
          <w:tab w:val="left" w:pos="0"/>
        </w:tabs>
        <w:spacing w:after="0"/>
        <w:jc w:val="both"/>
        <w:rPr>
          <w:rFonts w:eastAsia="Calibri"/>
          <w:color w:val="000000"/>
          <w:szCs w:val="24"/>
          <w:lang w:eastAsia="en-US"/>
        </w:rPr>
      </w:pPr>
      <w:r w:rsidRPr="00444B9C">
        <w:rPr>
          <w:szCs w:val="24"/>
        </w:rPr>
        <w:t>Надана</w:t>
      </w:r>
      <w:r w:rsidR="00D75CB5" w:rsidRPr="00444B9C">
        <w:rPr>
          <w:szCs w:val="24"/>
        </w:rPr>
        <w:t xml:space="preserve"> фінансова звітність Товариства підготовлена відповідно до Міжнародних стандартів фінансової звітності, звітність враховує всі прийняті і діючі міжнародні стандарти </w:t>
      </w:r>
      <w:r w:rsidR="00D75CB5" w:rsidRPr="00444B9C">
        <w:rPr>
          <w:rFonts w:eastAsia="Calibri"/>
          <w:color w:val="000000"/>
          <w:szCs w:val="24"/>
          <w:lang w:eastAsia="en-US"/>
        </w:rPr>
        <w:t xml:space="preserve">фінансової звітності та інтерпретації Комітету з МСФЗ, і відповідає їм. </w:t>
      </w:r>
    </w:p>
    <w:p w:rsidR="00D75CB5" w:rsidRPr="00444B9C" w:rsidRDefault="00D75CB5" w:rsidP="00DA67E2">
      <w:pPr>
        <w:pStyle w:val="a4"/>
        <w:widowControl w:val="0"/>
        <w:tabs>
          <w:tab w:val="left" w:pos="0"/>
        </w:tabs>
        <w:spacing w:line="240" w:lineRule="auto"/>
        <w:ind w:firstLine="0"/>
        <w:rPr>
          <w:rFonts w:eastAsia="Calibri"/>
          <w:color w:val="000000"/>
          <w:lang w:eastAsia="en-US"/>
        </w:rPr>
      </w:pPr>
      <w:r w:rsidRPr="00444B9C">
        <w:rPr>
          <w:rFonts w:eastAsia="Calibri"/>
          <w:color w:val="000000"/>
          <w:lang w:eastAsia="en-US"/>
        </w:rPr>
        <w:t>Інформація, отримана в результаті аудиторських процедур, а саме ідентифікації та оцінки аудитором ризиків, не виявила суттєвого викривлення фінансової звітності Товариства за 2016 року, згідно вимог МСА 240 “Відповідальність аудитора що стосується шахрайства при аудиті фінансової звітності”.</w:t>
      </w:r>
    </w:p>
    <w:p w:rsidR="00D75CB5" w:rsidRPr="00444B9C" w:rsidRDefault="00D75CB5" w:rsidP="00DA67E2">
      <w:pPr>
        <w:widowControl w:val="0"/>
        <w:tabs>
          <w:tab w:val="left" w:pos="0"/>
        </w:tabs>
        <w:autoSpaceDE w:val="0"/>
        <w:autoSpaceDN w:val="0"/>
        <w:adjustRightInd w:val="0"/>
        <w:jc w:val="both"/>
        <w:rPr>
          <w:lang w:val="uk-UA"/>
        </w:rPr>
      </w:pPr>
      <w:r w:rsidRPr="00444B9C">
        <w:rPr>
          <w:lang w:val="uk-UA"/>
        </w:rPr>
        <w:t xml:space="preserve">Керуючись Міжнародним стандартом аудиту 560 “Подальші події” аудитор не несе відповідальності за здійснення процедур або запитів стосовно фінансових звітів після дати аудиторського висновку. Протягом періоду, починаючи з дати надання звіту незалежних аудиторів до дати оприлюднення фінансових звітів, відповідальність за інформування </w:t>
      </w:r>
      <w:r w:rsidRPr="00444B9C">
        <w:rPr>
          <w:lang w:val="uk-UA"/>
        </w:rPr>
        <w:lastRenderedPageBreak/>
        <w:t>аудитора про факти, які можуть вплинути на фінансові звіти, несе управлінський персонал Товариства.</w:t>
      </w:r>
    </w:p>
    <w:p w:rsidR="00D75CB5" w:rsidRPr="00444B9C" w:rsidRDefault="00D75CB5" w:rsidP="00DA67E2">
      <w:pPr>
        <w:pStyle w:val="a4"/>
        <w:widowControl w:val="0"/>
        <w:tabs>
          <w:tab w:val="left" w:pos="0"/>
        </w:tabs>
        <w:spacing w:line="240" w:lineRule="auto"/>
        <w:ind w:firstLine="0"/>
      </w:pPr>
      <w:r w:rsidRPr="00444B9C">
        <w:t>Під час проведення нами аудиту було охоплено всі важливі аспекти діяльності Товариства. Вибіркова аудиторська перевірка охоплює всі суттєві статті балансу і дозволяє зробити висновок про відсутність істотних недоліків, які можуть вплинути на фінансові результати та звітність Товариства.</w:t>
      </w:r>
    </w:p>
    <w:p w:rsidR="00D75CB5" w:rsidRPr="00444B9C" w:rsidRDefault="00D75CB5" w:rsidP="00DA67E2">
      <w:pPr>
        <w:widowControl w:val="0"/>
        <w:shd w:val="clear" w:color="auto" w:fill="FFFFFF"/>
        <w:tabs>
          <w:tab w:val="left" w:pos="0"/>
        </w:tabs>
        <w:jc w:val="both"/>
        <w:rPr>
          <w:bCs/>
          <w:lang w:val="uk-UA"/>
        </w:rPr>
      </w:pPr>
      <w:r w:rsidRPr="00444B9C">
        <w:rPr>
          <w:bCs/>
          <w:lang w:val="uk-UA"/>
        </w:rPr>
        <w:t>Масштаб перевірки становить: документальним методом 30%, розрахунково-аналітичним - 70% від загального обсягу документації. Обсяг (масштаб) аудиторської перевірки включав перевірку первинної облікової документації за 2016 фінансовий рік за репрезентативною вибіркою не менше 20% від загальної кількості первинних документів.</w:t>
      </w:r>
    </w:p>
    <w:p w:rsidR="00D75CB5" w:rsidRPr="00444B9C" w:rsidRDefault="00D75CB5" w:rsidP="00DA67E2">
      <w:pPr>
        <w:widowControl w:val="0"/>
        <w:shd w:val="clear" w:color="auto" w:fill="FFFFFF"/>
        <w:tabs>
          <w:tab w:val="left" w:pos="0"/>
        </w:tabs>
        <w:jc w:val="both"/>
        <w:rPr>
          <w:bCs/>
          <w:lang w:val="uk-UA"/>
        </w:rPr>
      </w:pPr>
      <w:r w:rsidRPr="00444B9C">
        <w:rPr>
          <w:bCs/>
          <w:lang w:val="uk-UA"/>
        </w:rPr>
        <w:t>Аудиторська перевірка здійснювалась із застосуванням розрахунково-аналітичного та документального методів з узагальненням отриманих результатів.</w:t>
      </w:r>
    </w:p>
    <w:p w:rsidR="00D75CB5" w:rsidRPr="00444B9C" w:rsidRDefault="00D75CB5" w:rsidP="00DA67E2">
      <w:pPr>
        <w:widowControl w:val="0"/>
        <w:shd w:val="clear" w:color="auto" w:fill="FFFFFF"/>
        <w:tabs>
          <w:tab w:val="left" w:pos="0"/>
        </w:tabs>
        <w:jc w:val="both"/>
        <w:rPr>
          <w:bCs/>
          <w:lang w:val="uk-UA"/>
        </w:rPr>
      </w:pPr>
      <w:r w:rsidRPr="00444B9C">
        <w:rPr>
          <w:bCs/>
          <w:lang w:val="uk-UA"/>
        </w:rPr>
        <w:t xml:space="preserve">Суцільно були перевірені установчі документи, свідоцтва про реєстрацію та присвоєння статистичних кодів, фінансова звітність за 2016 рік. Вибірково були перевірені господарські договори та інша документація, що супроводжує фінансово-господарську діяльність </w:t>
      </w:r>
      <w:r w:rsidRPr="00444B9C">
        <w:rPr>
          <w:lang w:val="uk-UA"/>
        </w:rPr>
        <w:t>Товариства</w:t>
      </w:r>
      <w:r w:rsidRPr="00444B9C">
        <w:rPr>
          <w:bCs/>
          <w:lang w:val="uk-UA"/>
        </w:rPr>
        <w:t>, регістри синтетичного та аналітичного обліку.</w:t>
      </w:r>
    </w:p>
    <w:p w:rsidR="00D75CB5" w:rsidRPr="00444B9C" w:rsidRDefault="00D75CB5" w:rsidP="00DA67E2">
      <w:pPr>
        <w:widowControl w:val="0"/>
        <w:shd w:val="clear" w:color="auto" w:fill="FFFFFF"/>
        <w:tabs>
          <w:tab w:val="left" w:pos="0"/>
        </w:tabs>
        <w:jc w:val="both"/>
        <w:rPr>
          <w:bCs/>
          <w:lang w:val="uk-UA"/>
        </w:rPr>
      </w:pPr>
      <w:r w:rsidRPr="00444B9C">
        <w:rPr>
          <w:bCs/>
          <w:lang w:val="uk-UA"/>
        </w:rPr>
        <w:t>Аудиторська перевірка спланована та проведена з метою збору достатньої кількості інформації про те, що звіти не мають суттєвих помилок. Планування і проведення аудиту було спрямоване на одержання розумних підтверджень щодо відсутності у фінансовій звітності суттєвих помилок.</w:t>
      </w:r>
    </w:p>
    <w:p w:rsidR="00D75CB5" w:rsidRPr="00444B9C" w:rsidRDefault="00D75CB5" w:rsidP="00DA67E2">
      <w:pPr>
        <w:widowControl w:val="0"/>
        <w:shd w:val="clear" w:color="auto" w:fill="FFFFFF"/>
        <w:tabs>
          <w:tab w:val="left" w:pos="0"/>
        </w:tabs>
        <w:jc w:val="both"/>
        <w:rPr>
          <w:bCs/>
          <w:lang w:val="uk-UA"/>
        </w:rPr>
      </w:pPr>
      <w:r w:rsidRPr="00444B9C">
        <w:rPr>
          <w:bCs/>
          <w:lang w:val="uk-UA"/>
        </w:rPr>
        <w:t>Під час аудиту зроблено дослідження шляхом тестування доказів на обґрунтування сум та інформації, розкритих у фінансовому звіті, а також оцінку відповідності застосованих принципів обліку вимогам чинного законодавства щодо організації бухгалтерського обліку та звітності в Україні.</w:t>
      </w:r>
    </w:p>
    <w:p w:rsidR="003B0B14" w:rsidRPr="00444B9C" w:rsidRDefault="00D75CB5" w:rsidP="009C0AA4">
      <w:pPr>
        <w:widowControl w:val="0"/>
        <w:shd w:val="clear" w:color="auto" w:fill="FFFFFF"/>
        <w:tabs>
          <w:tab w:val="left" w:pos="0"/>
        </w:tabs>
        <w:jc w:val="both"/>
        <w:rPr>
          <w:bCs/>
          <w:lang w:val="uk-UA"/>
        </w:rPr>
      </w:pPr>
      <w:r w:rsidRPr="00444B9C">
        <w:rPr>
          <w:bCs/>
          <w:lang w:val="uk-UA"/>
        </w:rPr>
        <w:t>Шляхом тестування аудитором перевірена інформація, що підтверджує цифровий матеріал, покладений в основу складання звітності.</w:t>
      </w:r>
    </w:p>
    <w:p w:rsidR="00D75CB5" w:rsidRPr="00444B9C" w:rsidRDefault="00D75CB5" w:rsidP="00DA67E2">
      <w:pPr>
        <w:shd w:val="clear" w:color="auto" w:fill="FFFFFF"/>
        <w:tabs>
          <w:tab w:val="left" w:pos="0"/>
        </w:tabs>
        <w:jc w:val="both"/>
        <w:rPr>
          <w:lang w:val="uk-UA"/>
        </w:rPr>
      </w:pPr>
      <w:r w:rsidRPr="00444B9C">
        <w:rPr>
          <w:lang w:val="uk-UA"/>
        </w:rPr>
        <w:t>Аудиторами перевірена  наступна  документація:</w:t>
      </w:r>
    </w:p>
    <w:p w:rsidR="00D75CB5" w:rsidRPr="00444B9C" w:rsidRDefault="00D75CB5" w:rsidP="001871F0">
      <w:pPr>
        <w:numPr>
          <w:ilvl w:val="0"/>
          <w:numId w:val="6"/>
        </w:numPr>
        <w:shd w:val="clear" w:color="auto" w:fill="FFFFFF"/>
        <w:tabs>
          <w:tab w:val="left" w:pos="0"/>
          <w:tab w:val="left" w:pos="567"/>
        </w:tabs>
        <w:jc w:val="both"/>
        <w:rPr>
          <w:lang w:val="uk-UA"/>
        </w:rPr>
      </w:pPr>
      <w:r w:rsidRPr="00444B9C">
        <w:rPr>
          <w:lang w:val="uk-UA"/>
        </w:rPr>
        <w:t>Статутні документи, накази;</w:t>
      </w:r>
    </w:p>
    <w:p w:rsidR="00D75CB5" w:rsidRPr="00444B9C" w:rsidRDefault="00D75CB5" w:rsidP="001871F0">
      <w:pPr>
        <w:pStyle w:val="15"/>
        <w:numPr>
          <w:ilvl w:val="0"/>
          <w:numId w:val="6"/>
        </w:numPr>
        <w:shd w:val="clear" w:color="auto" w:fill="FFFFFF"/>
        <w:tabs>
          <w:tab w:val="left" w:pos="0"/>
          <w:tab w:val="left" w:pos="567"/>
        </w:tabs>
        <w:autoSpaceDE w:val="0"/>
        <w:autoSpaceDN w:val="0"/>
        <w:adjustRightInd w:val="0"/>
        <w:rPr>
          <w:lang w:val="uk-UA"/>
        </w:rPr>
      </w:pPr>
      <w:r w:rsidRPr="00444B9C">
        <w:rPr>
          <w:lang w:val="uk-UA"/>
        </w:rPr>
        <w:t>Положення про облікову політику та його застосування;</w:t>
      </w:r>
    </w:p>
    <w:p w:rsidR="00D75CB5" w:rsidRPr="00444B9C" w:rsidRDefault="00D75CB5" w:rsidP="001871F0">
      <w:pPr>
        <w:numPr>
          <w:ilvl w:val="0"/>
          <w:numId w:val="6"/>
        </w:numPr>
        <w:shd w:val="clear" w:color="auto" w:fill="FFFFFF"/>
        <w:tabs>
          <w:tab w:val="left" w:pos="0"/>
          <w:tab w:val="left" w:pos="567"/>
        </w:tabs>
        <w:jc w:val="both"/>
        <w:rPr>
          <w:lang w:val="uk-UA"/>
        </w:rPr>
      </w:pPr>
      <w:r w:rsidRPr="00444B9C">
        <w:rPr>
          <w:lang w:val="uk-UA"/>
        </w:rPr>
        <w:t>Банківські та  касові документи;</w:t>
      </w:r>
    </w:p>
    <w:p w:rsidR="00D75CB5" w:rsidRPr="00444B9C" w:rsidRDefault="00D75CB5" w:rsidP="001871F0">
      <w:pPr>
        <w:numPr>
          <w:ilvl w:val="0"/>
          <w:numId w:val="6"/>
        </w:numPr>
        <w:shd w:val="clear" w:color="auto" w:fill="FFFFFF"/>
        <w:tabs>
          <w:tab w:val="left" w:pos="0"/>
          <w:tab w:val="left" w:pos="567"/>
        </w:tabs>
        <w:jc w:val="both"/>
        <w:rPr>
          <w:lang w:val="uk-UA"/>
        </w:rPr>
      </w:pPr>
      <w:r w:rsidRPr="00444B9C">
        <w:rPr>
          <w:lang w:val="uk-UA"/>
        </w:rPr>
        <w:t>Договори господарської діяльності  та додатки до них;</w:t>
      </w:r>
    </w:p>
    <w:p w:rsidR="00D75CB5" w:rsidRPr="00444B9C" w:rsidRDefault="00D75CB5" w:rsidP="001871F0">
      <w:pPr>
        <w:numPr>
          <w:ilvl w:val="0"/>
          <w:numId w:val="6"/>
        </w:numPr>
        <w:shd w:val="clear" w:color="auto" w:fill="FFFFFF"/>
        <w:tabs>
          <w:tab w:val="left" w:pos="0"/>
          <w:tab w:val="left" w:pos="567"/>
        </w:tabs>
        <w:jc w:val="both"/>
        <w:rPr>
          <w:lang w:val="uk-UA"/>
        </w:rPr>
      </w:pPr>
      <w:r w:rsidRPr="00444B9C">
        <w:rPr>
          <w:lang w:val="uk-UA"/>
        </w:rPr>
        <w:t>Накладні,  акти, інші первинні документи ;</w:t>
      </w:r>
    </w:p>
    <w:p w:rsidR="00D75CB5" w:rsidRPr="00444B9C" w:rsidRDefault="00DA393C" w:rsidP="001871F0">
      <w:pPr>
        <w:numPr>
          <w:ilvl w:val="0"/>
          <w:numId w:val="6"/>
        </w:numPr>
        <w:shd w:val="clear" w:color="auto" w:fill="FFFFFF"/>
        <w:tabs>
          <w:tab w:val="left" w:pos="0"/>
          <w:tab w:val="left" w:pos="567"/>
        </w:tabs>
        <w:jc w:val="both"/>
        <w:rPr>
          <w:lang w:val="uk-UA"/>
        </w:rPr>
      </w:pPr>
      <w:r w:rsidRPr="00444B9C">
        <w:rPr>
          <w:lang w:val="uk-UA"/>
        </w:rPr>
        <w:t xml:space="preserve">Фінансова звітність Товариства </w:t>
      </w:r>
      <w:r w:rsidR="00D75CB5" w:rsidRPr="00444B9C">
        <w:rPr>
          <w:lang w:val="uk-UA"/>
        </w:rPr>
        <w:t>на 31.12.2016 року;</w:t>
      </w:r>
    </w:p>
    <w:p w:rsidR="00D75CB5" w:rsidRPr="00444B9C" w:rsidRDefault="005A4C3A" w:rsidP="001871F0">
      <w:pPr>
        <w:numPr>
          <w:ilvl w:val="0"/>
          <w:numId w:val="6"/>
        </w:numPr>
        <w:shd w:val="clear" w:color="auto" w:fill="FFFFFF"/>
        <w:tabs>
          <w:tab w:val="left" w:pos="0"/>
          <w:tab w:val="left" w:pos="567"/>
        </w:tabs>
        <w:jc w:val="both"/>
        <w:rPr>
          <w:lang w:val="uk-UA"/>
        </w:rPr>
      </w:pPr>
      <w:r w:rsidRPr="00444B9C">
        <w:rPr>
          <w:lang w:val="uk-UA"/>
        </w:rPr>
        <w:t>Розшифрування</w:t>
      </w:r>
      <w:r w:rsidR="00D75CB5" w:rsidRPr="00444B9C">
        <w:rPr>
          <w:lang w:val="uk-UA"/>
        </w:rPr>
        <w:t xml:space="preserve"> окремих статей балансу, звіту про фінансові результати;</w:t>
      </w:r>
    </w:p>
    <w:p w:rsidR="003B0B14" w:rsidRPr="00444B9C" w:rsidRDefault="00D75CB5" w:rsidP="009C0AA4">
      <w:pPr>
        <w:numPr>
          <w:ilvl w:val="0"/>
          <w:numId w:val="6"/>
        </w:numPr>
        <w:shd w:val="clear" w:color="auto" w:fill="FFFFFF"/>
        <w:tabs>
          <w:tab w:val="left" w:pos="0"/>
          <w:tab w:val="left" w:pos="567"/>
        </w:tabs>
        <w:jc w:val="both"/>
        <w:rPr>
          <w:lang w:val="uk-UA"/>
        </w:rPr>
      </w:pPr>
      <w:r w:rsidRPr="00444B9C">
        <w:rPr>
          <w:lang w:val="uk-UA"/>
        </w:rPr>
        <w:t>Примітки до фінансової звітності за 2016 рік.</w:t>
      </w:r>
    </w:p>
    <w:p w:rsidR="00D75CB5" w:rsidRPr="00444B9C" w:rsidRDefault="00DA67E2" w:rsidP="00DA67E2">
      <w:pPr>
        <w:widowControl w:val="0"/>
        <w:shd w:val="clear" w:color="auto" w:fill="FFFFFF"/>
        <w:tabs>
          <w:tab w:val="left" w:pos="0"/>
        </w:tabs>
        <w:jc w:val="both"/>
        <w:rPr>
          <w:bCs/>
          <w:lang w:val="uk-UA"/>
        </w:rPr>
      </w:pPr>
      <w:r w:rsidRPr="00444B9C">
        <w:rPr>
          <w:bCs/>
          <w:lang w:val="uk-UA"/>
        </w:rPr>
        <w:t xml:space="preserve">Аудитори </w:t>
      </w:r>
      <w:r w:rsidR="00D75CB5" w:rsidRPr="00444B9C">
        <w:rPr>
          <w:bCs/>
          <w:lang w:val="uk-UA"/>
        </w:rPr>
        <w:t>вважа</w:t>
      </w:r>
      <w:r w:rsidRPr="00444B9C">
        <w:rPr>
          <w:bCs/>
          <w:lang w:val="uk-UA"/>
        </w:rPr>
        <w:t>ють</w:t>
      </w:r>
      <w:r w:rsidR="00D75CB5" w:rsidRPr="00444B9C">
        <w:rPr>
          <w:bCs/>
          <w:lang w:val="uk-UA"/>
        </w:rPr>
        <w:t>, що під час перевірки була зібрана достатня кількість інформації для ск</w:t>
      </w:r>
      <w:r w:rsidRPr="00444B9C">
        <w:rPr>
          <w:bCs/>
          <w:lang w:val="uk-UA"/>
        </w:rPr>
        <w:t xml:space="preserve">ладання аудиторського висновку. </w:t>
      </w:r>
      <w:r w:rsidR="00D75CB5" w:rsidRPr="00444B9C">
        <w:rPr>
          <w:lang w:val="uk-UA"/>
        </w:rPr>
        <w:t>Ми не виключаємо можливості, що існують документи і інформація, як</w:t>
      </w:r>
      <w:r w:rsidRPr="00444B9C">
        <w:rPr>
          <w:lang w:val="uk-UA"/>
        </w:rPr>
        <w:t>і</w:t>
      </w:r>
      <w:r w:rsidR="00D75CB5" w:rsidRPr="00444B9C">
        <w:rPr>
          <w:lang w:val="uk-UA"/>
        </w:rPr>
        <w:t xml:space="preserve"> з будь-яких причин не </w:t>
      </w:r>
      <w:r w:rsidRPr="00444B9C">
        <w:rPr>
          <w:lang w:val="uk-UA"/>
        </w:rPr>
        <w:t>потрапили</w:t>
      </w:r>
      <w:r w:rsidR="00D75CB5" w:rsidRPr="00444B9C">
        <w:rPr>
          <w:lang w:val="uk-UA"/>
        </w:rPr>
        <w:t xml:space="preserve"> дл</w:t>
      </w:r>
      <w:r w:rsidRPr="00444B9C">
        <w:rPr>
          <w:lang w:val="uk-UA"/>
        </w:rPr>
        <w:t>я перевірки</w:t>
      </w:r>
      <w:r w:rsidR="00D75CB5" w:rsidRPr="00444B9C">
        <w:rPr>
          <w:lang w:val="uk-UA"/>
        </w:rPr>
        <w:t>.</w:t>
      </w:r>
    </w:p>
    <w:p w:rsidR="00D75CB5" w:rsidRPr="00444B9C" w:rsidRDefault="00DA67E2" w:rsidP="00DA67E2">
      <w:pPr>
        <w:shd w:val="clear" w:color="auto" w:fill="FFFFFF"/>
        <w:tabs>
          <w:tab w:val="left" w:pos="0"/>
        </w:tabs>
        <w:jc w:val="both"/>
        <w:rPr>
          <w:lang w:val="uk-UA"/>
        </w:rPr>
      </w:pPr>
      <w:r w:rsidRPr="00444B9C">
        <w:rPr>
          <w:lang w:val="uk-UA"/>
        </w:rPr>
        <w:t>Здійснені нами</w:t>
      </w:r>
      <w:r w:rsidR="00D75CB5" w:rsidRPr="00444B9C">
        <w:rPr>
          <w:lang w:val="uk-UA"/>
        </w:rPr>
        <w:t xml:space="preserve"> </w:t>
      </w:r>
      <w:r w:rsidRPr="00444B9C">
        <w:rPr>
          <w:lang w:val="uk-UA"/>
        </w:rPr>
        <w:t>аудиторські</w:t>
      </w:r>
      <w:r w:rsidR="00D75CB5" w:rsidRPr="00444B9C">
        <w:rPr>
          <w:lang w:val="uk-UA"/>
        </w:rPr>
        <w:t xml:space="preserve"> </w:t>
      </w:r>
      <w:r w:rsidRPr="00444B9C">
        <w:rPr>
          <w:lang w:val="uk-UA"/>
        </w:rPr>
        <w:t>процедури виступають</w:t>
      </w:r>
      <w:r w:rsidR="00D75CB5" w:rsidRPr="00444B9C">
        <w:rPr>
          <w:lang w:val="uk-UA"/>
        </w:rPr>
        <w:t xml:space="preserve"> достатньою основою для висловлювання думки стосовно звітності</w:t>
      </w:r>
      <w:r w:rsidR="009644CD" w:rsidRPr="00444B9C">
        <w:rPr>
          <w:lang w:val="uk-UA"/>
        </w:rPr>
        <w:t xml:space="preserve"> Товариства</w:t>
      </w:r>
      <w:r w:rsidR="00D75CB5" w:rsidRPr="00444B9C">
        <w:rPr>
          <w:lang w:val="uk-UA"/>
        </w:rPr>
        <w:t>, однак, слід звернути увагу на те, що, відповідно до параграфів МСА 200 «Загальні цілі незалежного аудитора та проведення аудиту відповідно до Міжнародних стандартів аудиту» аудиторський висновок (звіт незалежного аудитора) щодо надійності фінансової звітності дає її користувачам високий, але не абсолютний, рівень упевненості.</w:t>
      </w:r>
    </w:p>
    <w:p w:rsidR="005A4C3A" w:rsidRPr="00444B9C" w:rsidRDefault="005A4C3A" w:rsidP="00DA67E2">
      <w:pPr>
        <w:shd w:val="clear" w:color="auto" w:fill="FFFFFF"/>
        <w:tabs>
          <w:tab w:val="left" w:pos="0"/>
        </w:tabs>
        <w:jc w:val="both"/>
        <w:rPr>
          <w:b/>
          <w:bCs/>
          <w:iCs/>
          <w:lang w:val="uk-UA"/>
        </w:rPr>
      </w:pPr>
    </w:p>
    <w:p w:rsidR="00990F21" w:rsidRPr="00444B9C" w:rsidRDefault="00990F21" w:rsidP="00DA67E2">
      <w:pPr>
        <w:shd w:val="clear" w:color="auto" w:fill="FFFFFF"/>
        <w:tabs>
          <w:tab w:val="left" w:pos="0"/>
        </w:tabs>
        <w:jc w:val="both"/>
        <w:rPr>
          <w:b/>
          <w:bCs/>
          <w:lang w:val="uk-UA"/>
        </w:rPr>
      </w:pPr>
      <w:r w:rsidRPr="00444B9C">
        <w:rPr>
          <w:b/>
          <w:bCs/>
          <w:iCs/>
          <w:lang w:val="uk-UA"/>
        </w:rPr>
        <w:t>2.3.</w:t>
      </w:r>
      <w:r w:rsidR="003C1C27" w:rsidRPr="00444B9C">
        <w:rPr>
          <w:b/>
          <w:bCs/>
          <w:iCs/>
          <w:lang w:val="uk-UA"/>
        </w:rPr>
        <w:t xml:space="preserve"> </w:t>
      </w:r>
      <w:r w:rsidRPr="00444B9C">
        <w:rPr>
          <w:b/>
          <w:bCs/>
          <w:iCs/>
          <w:lang w:val="uk-UA"/>
        </w:rPr>
        <w:t>Розкриття інформації</w:t>
      </w:r>
      <w:r w:rsidR="00475EA0" w:rsidRPr="00444B9C">
        <w:rPr>
          <w:b/>
          <w:bCs/>
          <w:iCs/>
          <w:lang w:val="uk-UA"/>
        </w:rPr>
        <w:t xml:space="preserve"> </w:t>
      </w:r>
      <w:r w:rsidRPr="00444B9C">
        <w:rPr>
          <w:b/>
          <w:bCs/>
          <w:lang w:val="uk-UA"/>
        </w:rPr>
        <w:t xml:space="preserve"> з урахуванням  </w:t>
      </w:r>
      <w:r w:rsidRPr="00444B9C">
        <w:rPr>
          <w:b/>
          <w:lang w:val="uk-UA"/>
        </w:rPr>
        <w:t xml:space="preserve">рекомендацій </w:t>
      </w:r>
      <w:r w:rsidR="00DA393C" w:rsidRPr="00444B9C">
        <w:rPr>
          <w:b/>
          <w:lang w:val="uk-UA"/>
        </w:rPr>
        <w:t>Національної</w:t>
      </w:r>
      <w:r w:rsidR="003C1C27" w:rsidRPr="00444B9C">
        <w:rPr>
          <w:b/>
          <w:lang w:val="uk-UA"/>
        </w:rPr>
        <w:t xml:space="preserve"> комісії з </w:t>
      </w:r>
      <w:r w:rsidR="00DA393C" w:rsidRPr="00444B9C">
        <w:rPr>
          <w:b/>
          <w:lang w:val="uk-UA"/>
        </w:rPr>
        <w:t xml:space="preserve">державного </w:t>
      </w:r>
      <w:r w:rsidR="003C1C27" w:rsidRPr="00444B9C">
        <w:rPr>
          <w:b/>
          <w:lang w:val="uk-UA"/>
        </w:rPr>
        <w:t xml:space="preserve">регулювання </w:t>
      </w:r>
      <w:r w:rsidR="00DA393C" w:rsidRPr="00444B9C">
        <w:rPr>
          <w:b/>
          <w:lang w:val="uk-UA"/>
        </w:rPr>
        <w:t xml:space="preserve">у сфері </w:t>
      </w:r>
      <w:r w:rsidR="003C1C27" w:rsidRPr="00444B9C">
        <w:rPr>
          <w:b/>
          <w:lang w:val="uk-UA"/>
        </w:rPr>
        <w:t xml:space="preserve">ринків </w:t>
      </w:r>
      <w:r w:rsidRPr="00444B9C">
        <w:rPr>
          <w:b/>
          <w:lang w:val="uk-UA"/>
        </w:rPr>
        <w:t>фін</w:t>
      </w:r>
      <w:r w:rsidR="003C1C27" w:rsidRPr="00444B9C">
        <w:rPr>
          <w:b/>
          <w:lang w:val="uk-UA"/>
        </w:rPr>
        <w:t xml:space="preserve">ансових </w:t>
      </w:r>
      <w:r w:rsidRPr="00444B9C">
        <w:rPr>
          <w:b/>
          <w:lang w:val="uk-UA"/>
        </w:rPr>
        <w:t>послуг</w:t>
      </w:r>
      <w:r w:rsidR="003C1C27" w:rsidRPr="00444B9C">
        <w:rPr>
          <w:b/>
          <w:lang w:val="uk-UA"/>
        </w:rPr>
        <w:t xml:space="preserve"> (</w:t>
      </w:r>
      <w:r w:rsidR="003C1C27" w:rsidRPr="00444B9C">
        <w:rPr>
          <w:lang w:val="uk-UA"/>
        </w:rPr>
        <w:t>далі - Держфінпослуг</w:t>
      </w:r>
      <w:r w:rsidR="003C1C27" w:rsidRPr="00444B9C">
        <w:rPr>
          <w:b/>
          <w:lang w:val="uk-UA"/>
        </w:rPr>
        <w:t>)</w:t>
      </w:r>
      <w:r w:rsidR="00EE1018">
        <w:rPr>
          <w:b/>
          <w:lang w:val="uk-UA"/>
        </w:rPr>
        <w:t>.</w:t>
      </w:r>
    </w:p>
    <w:p w:rsidR="00475EA0" w:rsidRPr="00444B9C" w:rsidRDefault="00475EA0" w:rsidP="00DA67E2">
      <w:pPr>
        <w:tabs>
          <w:tab w:val="left" w:pos="0"/>
        </w:tabs>
        <w:jc w:val="both"/>
        <w:rPr>
          <w:b/>
          <w:u w:val="single"/>
          <w:lang w:val="uk-UA"/>
        </w:rPr>
      </w:pPr>
    </w:p>
    <w:p w:rsidR="0080322F" w:rsidRPr="00444B9C" w:rsidRDefault="0080322F" w:rsidP="0080322F">
      <w:pPr>
        <w:pStyle w:val="ABC-paragrahinNotes"/>
        <w:spacing w:after="0"/>
        <w:rPr>
          <w:b/>
          <w:sz w:val="24"/>
          <w:szCs w:val="24"/>
          <w:u w:val="single"/>
          <w:lang w:val="uk-UA"/>
        </w:rPr>
      </w:pPr>
      <w:r w:rsidRPr="00444B9C">
        <w:rPr>
          <w:b/>
          <w:sz w:val="24"/>
          <w:szCs w:val="24"/>
          <w:u w:val="single"/>
          <w:lang w:val="uk-UA"/>
        </w:rPr>
        <w:t>Щодо економічного середовища функціонування Товариства</w:t>
      </w:r>
    </w:p>
    <w:p w:rsidR="00AC266F" w:rsidRPr="00444B9C" w:rsidRDefault="0080322F" w:rsidP="00AC266F">
      <w:pPr>
        <w:pStyle w:val="ABC-paragrahinNotes"/>
        <w:spacing w:after="0"/>
        <w:rPr>
          <w:sz w:val="24"/>
          <w:szCs w:val="24"/>
          <w:lang w:val="uk-UA"/>
        </w:rPr>
      </w:pPr>
      <w:r w:rsidRPr="00444B9C">
        <w:rPr>
          <w:sz w:val="24"/>
          <w:szCs w:val="24"/>
          <w:lang w:val="uk-UA"/>
        </w:rPr>
        <w:t xml:space="preserve">Діяльність Товариства здійснюється на території України. Політична та економічна ситуація протягом останніх років є нестабільною із ознаками незначної  позитивної динаміки в 2016 році. Товариство не має активів на окупованих територіях, а також не проводило операцій з контрагентами, </w:t>
      </w:r>
      <w:r w:rsidR="00AC266F" w:rsidRPr="00444B9C">
        <w:rPr>
          <w:sz w:val="24"/>
          <w:szCs w:val="24"/>
          <w:lang w:val="uk-UA"/>
        </w:rPr>
        <w:t>розташованими</w:t>
      </w:r>
      <w:r w:rsidRPr="00444B9C">
        <w:rPr>
          <w:sz w:val="24"/>
          <w:szCs w:val="24"/>
          <w:lang w:val="uk-UA"/>
        </w:rPr>
        <w:t xml:space="preserve"> на таких </w:t>
      </w:r>
      <w:r w:rsidR="00AC266F" w:rsidRPr="00444B9C">
        <w:rPr>
          <w:sz w:val="24"/>
          <w:szCs w:val="24"/>
          <w:lang w:val="uk-UA"/>
        </w:rPr>
        <w:t>територіях</w:t>
      </w:r>
      <w:r w:rsidRPr="00444B9C">
        <w:rPr>
          <w:sz w:val="24"/>
          <w:szCs w:val="24"/>
          <w:lang w:val="uk-UA"/>
        </w:rPr>
        <w:t xml:space="preserve">. </w:t>
      </w:r>
    </w:p>
    <w:p w:rsidR="0080322F" w:rsidRPr="00444B9C" w:rsidRDefault="00AC266F" w:rsidP="0080322F">
      <w:pPr>
        <w:pStyle w:val="ABC-paragrahinNotes"/>
        <w:spacing w:after="0"/>
        <w:rPr>
          <w:sz w:val="24"/>
          <w:szCs w:val="24"/>
          <w:lang w:val="uk-UA"/>
        </w:rPr>
      </w:pPr>
      <w:r w:rsidRPr="00444B9C">
        <w:rPr>
          <w:sz w:val="24"/>
          <w:szCs w:val="24"/>
          <w:lang w:val="uk-UA"/>
        </w:rPr>
        <w:t>Д</w:t>
      </w:r>
      <w:r w:rsidR="0080322F" w:rsidRPr="00444B9C">
        <w:rPr>
          <w:sz w:val="24"/>
          <w:szCs w:val="24"/>
          <w:lang w:val="uk-UA"/>
        </w:rPr>
        <w:t>евальвація національної валюти щодо долара США за 201</w:t>
      </w:r>
      <w:r w:rsidRPr="00444B9C">
        <w:rPr>
          <w:sz w:val="24"/>
          <w:szCs w:val="24"/>
          <w:lang w:val="uk-UA"/>
        </w:rPr>
        <w:t>6</w:t>
      </w:r>
      <w:r w:rsidR="0080322F" w:rsidRPr="00444B9C">
        <w:rPr>
          <w:sz w:val="24"/>
          <w:szCs w:val="24"/>
          <w:lang w:val="uk-UA"/>
        </w:rPr>
        <w:t xml:space="preserve"> рік с</w:t>
      </w:r>
      <w:r w:rsidRPr="00444B9C">
        <w:rPr>
          <w:sz w:val="24"/>
          <w:szCs w:val="24"/>
          <w:lang w:val="uk-UA"/>
        </w:rPr>
        <w:t>тановила</w:t>
      </w:r>
      <w:r w:rsidR="0080322F" w:rsidRPr="00444B9C">
        <w:rPr>
          <w:sz w:val="24"/>
          <w:szCs w:val="24"/>
          <w:lang w:val="uk-UA"/>
        </w:rPr>
        <w:t xml:space="preserve"> </w:t>
      </w:r>
      <w:r w:rsidRPr="00444B9C">
        <w:rPr>
          <w:sz w:val="24"/>
          <w:szCs w:val="24"/>
          <w:lang w:val="uk-UA"/>
        </w:rPr>
        <w:t>близька 7% (у 2015 році – 52%). Р</w:t>
      </w:r>
      <w:r w:rsidR="0080322F" w:rsidRPr="00444B9C">
        <w:rPr>
          <w:sz w:val="24"/>
          <w:szCs w:val="24"/>
          <w:lang w:val="uk-UA"/>
        </w:rPr>
        <w:t xml:space="preserve">еальний ВВП України </w:t>
      </w:r>
      <w:r w:rsidRPr="00444B9C">
        <w:rPr>
          <w:sz w:val="24"/>
          <w:szCs w:val="24"/>
          <w:lang w:val="uk-UA"/>
        </w:rPr>
        <w:t>збільшився</w:t>
      </w:r>
      <w:r w:rsidR="0080322F" w:rsidRPr="00444B9C">
        <w:rPr>
          <w:sz w:val="24"/>
          <w:szCs w:val="24"/>
          <w:lang w:val="uk-UA"/>
        </w:rPr>
        <w:t xml:space="preserve"> на </w:t>
      </w:r>
      <w:r w:rsidRPr="00444B9C">
        <w:rPr>
          <w:sz w:val="24"/>
          <w:szCs w:val="24"/>
          <w:lang w:val="uk-UA"/>
        </w:rPr>
        <w:t>1,8% (2015</w:t>
      </w:r>
      <w:r w:rsidR="0080322F" w:rsidRPr="00444B9C">
        <w:rPr>
          <w:sz w:val="24"/>
          <w:szCs w:val="24"/>
          <w:lang w:val="uk-UA"/>
        </w:rPr>
        <w:t xml:space="preserve"> рік</w:t>
      </w:r>
      <w:r w:rsidRPr="00444B9C">
        <w:rPr>
          <w:sz w:val="24"/>
          <w:szCs w:val="24"/>
          <w:lang w:val="uk-UA"/>
        </w:rPr>
        <w:t xml:space="preserve"> зменшення</w:t>
      </w:r>
      <w:r w:rsidR="0080322F" w:rsidRPr="00444B9C">
        <w:rPr>
          <w:sz w:val="24"/>
          <w:szCs w:val="24"/>
          <w:lang w:val="uk-UA"/>
        </w:rPr>
        <w:t xml:space="preserve"> на </w:t>
      </w:r>
      <w:r w:rsidRPr="00444B9C">
        <w:rPr>
          <w:sz w:val="24"/>
          <w:szCs w:val="24"/>
          <w:lang w:val="uk-UA"/>
        </w:rPr>
        <w:t>10,4</w:t>
      </w:r>
      <w:r w:rsidR="0080322F" w:rsidRPr="00444B9C">
        <w:rPr>
          <w:sz w:val="24"/>
          <w:szCs w:val="24"/>
          <w:lang w:val="uk-UA"/>
        </w:rPr>
        <w:t xml:space="preserve">%). Фактична інфляція за 2016 рік склала </w:t>
      </w:r>
      <w:r w:rsidRPr="00444B9C">
        <w:rPr>
          <w:sz w:val="24"/>
          <w:szCs w:val="24"/>
          <w:lang w:val="uk-UA"/>
        </w:rPr>
        <w:t>12</w:t>
      </w:r>
      <w:r w:rsidR="0080322F" w:rsidRPr="00444B9C">
        <w:rPr>
          <w:sz w:val="24"/>
          <w:szCs w:val="24"/>
          <w:lang w:val="uk-UA"/>
        </w:rPr>
        <w:t>,</w:t>
      </w:r>
      <w:r w:rsidRPr="00444B9C">
        <w:rPr>
          <w:sz w:val="24"/>
          <w:szCs w:val="24"/>
          <w:lang w:val="uk-UA"/>
        </w:rPr>
        <w:t>4</w:t>
      </w:r>
      <w:r w:rsidR="0080322F" w:rsidRPr="00444B9C">
        <w:rPr>
          <w:sz w:val="24"/>
          <w:szCs w:val="24"/>
          <w:lang w:val="uk-UA"/>
        </w:rPr>
        <w:t xml:space="preserve"> % (за 201</w:t>
      </w:r>
      <w:r w:rsidRPr="00444B9C">
        <w:rPr>
          <w:sz w:val="24"/>
          <w:szCs w:val="24"/>
          <w:lang w:val="uk-UA"/>
        </w:rPr>
        <w:t>5</w:t>
      </w:r>
      <w:r w:rsidR="0080322F" w:rsidRPr="00444B9C">
        <w:rPr>
          <w:sz w:val="24"/>
          <w:szCs w:val="24"/>
          <w:lang w:val="uk-UA"/>
        </w:rPr>
        <w:t xml:space="preserve"> рік</w:t>
      </w:r>
      <w:r w:rsidRPr="00444B9C">
        <w:rPr>
          <w:sz w:val="24"/>
          <w:szCs w:val="24"/>
          <w:lang w:val="uk-UA"/>
        </w:rPr>
        <w:t xml:space="preserve"> -</w:t>
      </w:r>
      <w:r w:rsidR="0080322F" w:rsidRPr="00444B9C">
        <w:rPr>
          <w:sz w:val="24"/>
          <w:szCs w:val="24"/>
          <w:lang w:val="uk-UA"/>
        </w:rPr>
        <w:t xml:space="preserve"> </w:t>
      </w:r>
      <w:r w:rsidRPr="00444B9C">
        <w:rPr>
          <w:sz w:val="24"/>
          <w:szCs w:val="24"/>
          <w:lang w:val="uk-UA"/>
        </w:rPr>
        <w:t>43</w:t>
      </w:r>
      <w:r w:rsidR="0080322F" w:rsidRPr="00444B9C">
        <w:rPr>
          <w:sz w:val="24"/>
          <w:szCs w:val="24"/>
          <w:lang w:val="uk-UA"/>
        </w:rPr>
        <w:t>,</w:t>
      </w:r>
      <w:r w:rsidRPr="00444B9C">
        <w:rPr>
          <w:sz w:val="24"/>
          <w:szCs w:val="24"/>
          <w:lang w:val="uk-UA"/>
        </w:rPr>
        <w:t>3</w:t>
      </w:r>
      <w:r w:rsidR="0080322F" w:rsidRPr="00444B9C">
        <w:rPr>
          <w:sz w:val="24"/>
          <w:szCs w:val="24"/>
          <w:lang w:val="uk-UA"/>
        </w:rPr>
        <w:t xml:space="preserve">%). </w:t>
      </w:r>
    </w:p>
    <w:p w:rsidR="0080322F" w:rsidRPr="00444B9C" w:rsidRDefault="0080322F" w:rsidP="0080322F">
      <w:pPr>
        <w:pStyle w:val="ABC-paragrahinNotes"/>
        <w:spacing w:after="0"/>
        <w:rPr>
          <w:sz w:val="24"/>
          <w:szCs w:val="24"/>
          <w:lang w:val="uk-UA"/>
        </w:rPr>
      </w:pPr>
      <w:r w:rsidRPr="00444B9C">
        <w:rPr>
          <w:sz w:val="24"/>
          <w:szCs w:val="24"/>
          <w:lang w:val="uk-UA"/>
        </w:rPr>
        <w:lastRenderedPageBreak/>
        <w:t>Політичні зміни призводять до змін у законодавчій</w:t>
      </w:r>
      <w:r w:rsidR="00AC266F" w:rsidRPr="00444B9C">
        <w:rPr>
          <w:sz w:val="24"/>
          <w:szCs w:val="24"/>
          <w:lang w:val="uk-UA"/>
        </w:rPr>
        <w:t xml:space="preserve"> базі діяльності</w:t>
      </w:r>
      <w:r w:rsidRPr="00444B9C">
        <w:rPr>
          <w:sz w:val="24"/>
          <w:szCs w:val="24"/>
          <w:lang w:val="uk-UA"/>
        </w:rPr>
        <w:t xml:space="preserve"> компаній в Україні. Зокрема </w:t>
      </w:r>
      <w:r w:rsidR="005D12AC" w:rsidRPr="00444B9C">
        <w:rPr>
          <w:sz w:val="24"/>
          <w:szCs w:val="24"/>
          <w:lang w:val="uk-UA"/>
        </w:rPr>
        <w:t>продовження вдосконалення Податкового Кодексу України, зменшення регуляторного тиску, незначна лібералізація на ринку капіталів та валютному ринку</w:t>
      </w:r>
      <w:r w:rsidRPr="00444B9C">
        <w:rPr>
          <w:sz w:val="24"/>
          <w:szCs w:val="24"/>
          <w:lang w:val="uk-UA"/>
        </w:rPr>
        <w:t xml:space="preserve">.  </w:t>
      </w:r>
    </w:p>
    <w:p w:rsidR="0080322F" w:rsidRPr="00444B9C" w:rsidRDefault="0080322F" w:rsidP="0080322F">
      <w:pPr>
        <w:pStyle w:val="ABC-paragrahinNotes"/>
        <w:spacing w:after="0"/>
        <w:rPr>
          <w:sz w:val="24"/>
          <w:szCs w:val="24"/>
          <w:lang w:val="uk-UA"/>
        </w:rPr>
      </w:pPr>
      <w:r w:rsidRPr="00444B9C">
        <w:rPr>
          <w:sz w:val="24"/>
          <w:szCs w:val="24"/>
          <w:lang w:val="uk-UA"/>
        </w:rPr>
        <w:t>Майбутня стабільність економіки в значній мірі залежить від успішності реформ та ефективності економічних, фінансових та монетарних заходів, що будуть здійснюватися урядом країни.</w:t>
      </w:r>
    </w:p>
    <w:p w:rsidR="0080322F" w:rsidRPr="00444B9C" w:rsidRDefault="005D12AC" w:rsidP="0080322F">
      <w:pPr>
        <w:widowControl w:val="0"/>
        <w:shd w:val="clear" w:color="auto" w:fill="FFFFFF"/>
        <w:tabs>
          <w:tab w:val="left" w:pos="0"/>
          <w:tab w:val="left" w:pos="883"/>
        </w:tabs>
        <w:autoSpaceDE w:val="0"/>
        <w:autoSpaceDN w:val="0"/>
        <w:adjustRightInd w:val="0"/>
        <w:jc w:val="both"/>
        <w:rPr>
          <w:lang w:val="uk-UA"/>
        </w:rPr>
      </w:pPr>
      <w:r w:rsidRPr="00444B9C">
        <w:rPr>
          <w:lang w:val="uk-UA"/>
        </w:rPr>
        <w:t>Товариство</w:t>
      </w:r>
      <w:r w:rsidR="0080322F" w:rsidRPr="00444B9C">
        <w:rPr>
          <w:lang w:val="uk-UA"/>
        </w:rPr>
        <w:t xml:space="preserve"> постійно стежить за поточним станом подій, зміною законодавства і вживає всіх необхідних заходів </w:t>
      </w:r>
      <w:r w:rsidRPr="00444B9C">
        <w:rPr>
          <w:lang w:val="uk-UA"/>
        </w:rPr>
        <w:t>для</w:t>
      </w:r>
      <w:r w:rsidR="0080322F" w:rsidRPr="00444B9C">
        <w:rPr>
          <w:lang w:val="uk-UA"/>
        </w:rPr>
        <w:t xml:space="preserve"> підтримання </w:t>
      </w:r>
      <w:r w:rsidRPr="00444B9C">
        <w:rPr>
          <w:lang w:val="uk-UA"/>
        </w:rPr>
        <w:t>стабільного фінансового стану</w:t>
      </w:r>
      <w:r w:rsidR="0080322F" w:rsidRPr="00444B9C">
        <w:rPr>
          <w:lang w:val="uk-UA"/>
        </w:rPr>
        <w:t xml:space="preserve">. </w:t>
      </w:r>
    </w:p>
    <w:p w:rsidR="005D12AC" w:rsidRPr="00444B9C" w:rsidRDefault="005D12AC" w:rsidP="0080322F">
      <w:pPr>
        <w:widowControl w:val="0"/>
        <w:shd w:val="clear" w:color="auto" w:fill="FFFFFF"/>
        <w:tabs>
          <w:tab w:val="left" w:pos="0"/>
          <w:tab w:val="left" w:pos="883"/>
        </w:tabs>
        <w:autoSpaceDE w:val="0"/>
        <w:autoSpaceDN w:val="0"/>
        <w:adjustRightInd w:val="0"/>
        <w:jc w:val="both"/>
        <w:rPr>
          <w:lang w:val="uk-UA"/>
        </w:rPr>
      </w:pPr>
    </w:p>
    <w:p w:rsidR="00EE5857" w:rsidRPr="00444B9C" w:rsidRDefault="00EE5857" w:rsidP="0080322F">
      <w:pPr>
        <w:widowControl w:val="0"/>
        <w:shd w:val="clear" w:color="auto" w:fill="FFFFFF"/>
        <w:tabs>
          <w:tab w:val="left" w:pos="0"/>
          <w:tab w:val="left" w:pos="883"/>
        </w:tabs>
        <w:autoSpaceDE w:val="0"/>
        <w:autoSpaceDN w:val="0"/>
        <w:adjustRightInd w:val="0"/>
        <w:jc w:val="both"/>
        <w:rPr>
          <w:b/>
          <w:u w:val="single"/>
          <w:lang w:val="uk-UA"/>
        </w:rPr>
      </w:pPr>
      <w:r w:rsidRPr="00444B9C">
        <w:rPr>
          <w:b/>
          <w:u w:val="single"/>
          <w:lang w:val="uk-UA"/>
        </w:rPr>
        <w:t>Щодо обраної концептуальної основи складання звітності облікової політики</w:t>
      </w:r>
      <w:r w:rsidR="00D92B18" w:rsidRPr="00444B9C">
        <w:rPr>
          <w:b/>
          <w:u w:val="single"/>
          <w:lang w:val="uk-UA"/>
        </w:rPr>
        <w:t xml:space="preserve"> Товариства</w:t>
      </w:r>
      <w:r w:rsidRPr="00444B9C">
        <w:rPr>
          <w:b/>
          <w:u w:val="single"/>
          <w:lang w:val="uk-UA"/>
        </w:rPr>
        <w:t xml:space="preserve"> </w:t>
      </w:r>
    </w:p>
    <w:p w:rsidR="00A063F3" w:rsidRPr="00444B9C" w:rsidRDefault="00A063F3" w:rsidP="00A063F3">
      <w:pPr>
        <w:shd w:val="clear" w:color="auto" w:fill="FFFFFF"/>
        <w:tabs>
          <w:tab w:val="left" w:pos="0"/>
        </w:tabs>
        <w:jc w:val="both"/>
        <w:rPr>
          <w:iCs/>
          <w:lang w:val="uk-UA"/>
        </w:rPr>
      </w:pPr>
      <w:r w:rsidRPr="00444B9C">
        <w:rPr>
          <w:iCs/>
          <w:lang w:val="uk-UA"/>
        </w:rPr>
        <w:t>Фінансова</w:t>
      </w:r>
      <w:r w:rsidR="00EE5857" w:rsidRPr="00444B9C">
        <w:rPr>
          <w:iCs/>
          <w:lang w:val="uk-UA"/>
        </w:rPr>
        <w:t xml:space="preserve"> звітн</w:t>
      </w:r>
      <w:r w:rsidRPr="00444B9C">
        <w:rPr>
          <w:iCs/>
          <w:lang w:val="uk-UA"/>
        </w:rPr>
        <w:t>ість</w:t>
      </w:r>
      <w:r w:rsidR="00EE5857" w:rsidRPr="00444B9C">
        <w:rPr>
          <w:iCs/>
          <w:lang w:val="uk-UA"/>
        </w:rPr>
        <w:t xml:space="preserve"> Товариства з обмеженою відповідальність </w:t>
      </w:r>
      <w:r w:rsidR="00E25A12">
        <w:rPr>
          <w:iCs/>
          <w:lang w:val="uk-UA"/>
        </w:rPr>
        <w:t xml:space="preserve">«ФІНАНСОВА КОМПАНІЯ </w:t>
      </w:r>
      <w:r w:rsidR="00EE5857" w:rsidRPr="00444B9C">
        <w:rPr>
          <w:iCs/>
          <w:lang w:val="uk-UA"/>
        </w:rPr>
        <w:t>«</w:t>
      </w:r>
      <w:r w:rsidR="00F92D8E">
        <w:rPr>
          <w:iCs/>
          <w:lang w:val="uk-UA"/>
        </w:rPr>
        <w:t>ТОЛОКА</w:t>
      </w:r>
      <w:r w:rsidR="00EE5857" w:rsidRPr="00444B9C">
        <w:rPr>
          <w:iCs/>
          <w:lang w:val="uk-UA"/>
        </w:rPr>
        <w:t xml:space="preserve">» </w:t>
      </w:r>
      <w:r w:rsidRPr="00444B9C">
        <w:rPr>
          <w:iCs/>
          <w:lang w:val="uk-UA"/>
        </w:rPr>
        <w:t>у складі:</w:t>
      </w:r>
    </w:p>
    <w:p w:rsidR="00A063F3" w:rsidRPr="00444B9C" w:rsidRDefault="00A063F3" w:rsidP="00A063F3">
      <w:pPr>
        <w:pStyle w:val="af9"/>
        <w:numPr>
          <w:ilvl w:val="0"/>
          <w:numId w:val="12"/>
        </w:numPr>
        <w:shd w:val="clear" w:color="auto" w:fill="FFFFFF"/>
        <w:tabs>
          <w:tab w:val="left" w:pos="0"/>
        </w:tabs>
        <w:rPr>
          <w:rFonts w:ascii="Times New Roman" w:hAnsi="Times New Roman"/>
          <w:sz w:val="24"/>
          <w:szCs w:val="24"/>
          <w:lang w:val="uk-UA"/>
        </w:rPr>
      </w:pPr>
      <w:r w:rsidRPr="00444B9C">
        <w:rPr>
          <w:rFonts w:ascii="Times New Roman" w:hAnsi="Times New Roman"/>
          <w:sz w:val="24"/>
          <w:szCs w:val="24"/>
          <w:lang w:val="uk-UA"/>
        </w:rPr>
        <w:t xml:space="preserve">Балансу (Звіту про фінансовий стан) станом на 31 грудня 2016 року, </w:t>
      </w:r>
    </w:p>
    <w:p w:rsidR="00A063F3" w:rsidRPr="00444B9C" w:rsidRDefault="00A063F3" w:rsidP="00A063F3">
      <w:pPr>
        <w:pStyle w:val="af9"/>
        <w:numPr>
          <w:ilvl w:val="0"/>
          <w:numId w:val="12"/>
        </w:numPr>
        <w:shd w:val="clear" w:color="auto" w:fill="FFFFFF"/>
        <w:tabs>
          <w:tab w:val="left" w:pos="0"/>
        </w:tabs>
        <w:rPr>
          <w:rFonts w:ascii="Times New Roman" w:hAnsi="Times New Roman"/>
          <w:sz w:val="24"/>
          <w:szCs w:val="24"/>
          <w:lang w:val="uk-UA"/>
        </w:rPr>
      </w:pPr>
      <w:r w:rsidRPr="00444B9C">
        <w:rPr>
          <w:rFonts w:ascii="Times New Roman" w:hAnsi="Times New Roman"/>
          <w:sz w:val="24"/>
          <w:szCs w:val="24"/>
          <w:lang w:val="uk-UA"/>
        </w:rPr>
        <w:t>Звіту про фінансові результати (Звіт про сукупний дохід) за 2016 рік,</w:t>
      </w:r>
    </w:p>
    <w:p w:rsidR="00A063F3" w:rsidRPr="00444B9C" w:rsidRDefault="00A063F3" w:rsidP="00A063F3">
      <w:pPr>
        <w:pStyle w:val="af9"/>
        <w:numPr>
          <w:ilvl w:val="0"/>
          <w:numId w:val="12"/>
        </w:numPr>
        <w:shd w:val="clear" w:color="auto" w:fill="FFFFFF"/>
        <w:tabs>
          <w:tab w:val="left" w:pos="0"/>
        </w:tabs>
        <w:rPr>
          <w:rFonts w:ascii="Times New Roman" w:hAnsi="Times New Roman"/>
          <w:sz w:val="24"/>
          <w:szCs w:val="24"/>
          <w:lang w:val="uk-UA"/>
        </w:rPr>
      </w:pPr>
      <w:r w:rsidRPr="00444B9C">
        <w:rPr>
          <w:rFonts w:ascii="Times New Roman" w:hAnsi="Times New Roman"/>
          <w:sz w:val="24"/>
          <w:szCs w:val="24"/>
          <w:lang w:val="uk-UA"/>
        </w:rPr>
        <w:t xml:space="preserve">Звіту про рух грошових коштів,  </w:t>
      </w:r>
    </w:p>
    <w:p w:rsidR="00A063F3" w:rsidRPr="00444B9C" w:rsidRDefault="00A063F3" w:rsidP="00A063F3">
      <w:pPr>
        <w:pStyle w:val="af9"/>
        <w:numPr>
          <w:ilvl w:val="0"/>
          <w:numId w:val="12"/>
        </w:numPr>
        <w:shd w:val="clear" w:color="auto" w:fill="FFFFFF"/>
        <w:tabs>
          <w:tab w:val="left" w:pos="0"/>
        </w:tabs>
        <w:rPr>
          <w:rFonts w:ascii="Times New Roman" w:hAnsi="Times New Roman"/>
          <w:sz w:val="24"/>
          <w:szCs w:val="24"/>
          <w:lang w:val="uk-UA"/>
        </w:rPr>
      </w:pPr>
      <w:r w:rsidRPr="00444B9C">
        <w:rPr>
          <w:rFonts w:ascii="Times New Roman" w:hAnsi="Times New Roman"/>
          <w:sz w:val="24"/>
          <w:szCs w:val="24"/>
          <w:lang w:val="uk-UA"/>
        </w:rPr>
        <w:t xml:space="preserve">Звіту про власний капітал за 2016 рік, </w:t>
      </w:r>
    </w:p>
    <w:p w:rsidR="00A063F3" w:rsidRPr="00444B9C" w:rsidRDefault="00A063F3" w:rsidP="00D92B18">
      <w:pPr>
        <w:pStyle w:val="af9"/>
        <w:numPr>
          <w:ilvl w:val="0"/>
          <w:numId w:val="12"/>
        </w:numPr>
        <w:shd w:val="clear" w:color="auto" w:fill="FFFFFF"/>
        <w:tabs>
          <w:tab w:val="left" w:pos="0"/>
        </w:tabs>
        <w:ind w:left="0" w:firstLine="360"/>
        <w:rPr>
          <w:rFonts w:ascii="Times New Roman" w:hAnsi="Times New Roman"/>
          <w:sz w:val="24"/>
          <w:szCs w:val="24"/>
          <w:lang w:val="uk-UA"/>
        </w:rPr>
      </w:pPr>
      <w:r w:rsidRPr="00444B9C">
        <w:rPr>
          <w:rFonts w:ascii="Times New Roman" w:hAnsi="Times New Roman"/>
          <w:sz w:val="24"/>
          <w:szCs w:val="24"/>
          <w:lang w:val="uk-UA"/>
        </w:rPr>
        <w:t>Приміток та короткого викладу основних принципів облікової політики до цієї фінансової звітності</w:t>
      </w:r>
      <w:r w:rsidR="00D92B18" w:rsidRPr="00444B9C">
        <w:rPr>
          <w:rFonts w:ascii="Times New Roman" w:hAnsi="Times New Roman"/>
          <w:sz w:val="24"/>
          <w:szCs w:val="24"/>
          <w:lang w:val="uk-UA"/>
        </w:rPr>
        <w:t xml:space="preserve"> </w:t>
      </w:r>
      <w:r w:rsidR="00D92B18" w:rsidRPr="00E25A12">
        <w:rPr>
          <w:rFonts w:ascii="Times New Roman" w:hAnsi="Times New Roman"/>
          <w:iCs/>
          <w:sz w:val="24"/>
          <w:szCs w:val="24"/>
          <w:lang w:val="uk-UA"/>
        </w:rPr>
        <w:t>в</w:t>
      </w:r>
      <w:r w:rsidRPr="00E25A12">
        <w:rPr>
          <w:rFonts w:ascii="Times New Roman" w:hAnsi="Times New Roman"/>
          <w:iCs/>
          <w:sz w:val="24"/>
          <w:szCs w:val="24"/>
          <w:lang w:val="uk-UA"/>
        </w:rPr>
        <w:t>ідповідає</w:t>
      </w:r>
      <w:r w:rsidRPr="00444B9C">
        <w:rPr>
          <w:rFonts w:ascii="Times New Roman" w:hAnsi="Times New Roman"/>
          <w:iCs/>
          <w:sz w:val="24"/>
          <w:szCs w:val="24"/>
          <w:lang w:val="uk-UA"/>
        </w:rPr>
        <w:t xml:space="preserve"> Міжнародним</w:t>
      </w:r>
      <w:r w:rsidR="00EE5857" w:rsidRPr="00444B9C">
        <w:rPr>
          <w:rFonts w:ascii="Times New Roman" w:hAnsi="Times New Roman"/>
          <w:iCs/>
          <w:sz w:val="24"/>
          <w:szCs w:val="24"/>
          <w:lang w:val="uk-UA"/>
        </w:rPr>
        <w:t xml:space="preserve"> стандарт</w:t>
      </w:r>
      <w:r w:rsidRPr="00444B9C">
        <w:rPr>
          <w:rFonts w:ascii="Times New Roman" w:hAnsi="Times New Roman"/>
          <w:iCs/>
          <w:sz w:val="24"/>
          <w:szCs w:val="24"/>
          <w:lang w:val="uk-UA"/>
        </w:rPr>
        <w:t>ам</w:t>
      </w:r>
      <w:r w:rsidR="00EE5857" w:rsidRPr="00444B9C">
        <w:rPr>
          <w:rFonts w:ascii="Times New Roman" w:hAnsi="Times New Roman"/>
          <w:iCs/>
          <w:sz w:val="24"/>
          <w:szCs w:val="24"/>
          <w:lang w:val="uk-UA"/>
        </w:rPr>
        <w:t xml:space="preserve"> бухгалтерського обліку </w:t>
      </w:r>
      <w:r w:rsidR="00EE5857" w:rsidRPr="00444B9C">
        <w:rPr>
          <w:rFonts w:ascii="Times New Roman" w:hAnsi="Times New Roman"/>
          <w:sz w:val="24"/>
          <w:szCs w:val="24"/>
          <w:lang w:val="uk-UA"/>
        </w:rPr>
        <w:t>(</w:t>
      </w:r>
      <w:r w:rsidR="00EE5857" w:rsidRPr="00444B9C">
        <w:rPr>
          <w:rFonts w:ascii="Times New Roman" w:hAnsi="Times New Roman"/>
          <w:sz w:val="24"/>
          <w:szCs w:val="24"/>
          <w:lang w:val="en-US"/>
        </w:rPr>
        <w:t>I</w:t>
      </w:r>
      <w:r w:rsidR="00EE5857" w:rsidRPr="00444B9C">
        <w:rPr>
          <w:rFonts w:ascii="Times New Roman" w:hAnsi="Times New Roman"/>
          <w:sz w:val="24"/>
          <w:szCs w:val="24"/>
          <w:lang w:val="uk-UA"/>
        </w:rPr>
        <w:t>А</w:t>
      </w:r>
      <w:r w:rsidR="00EE5857" w:rsidRPr="00444B9C">
        <w:rPr>
          <w:rFonts w:ascii="Times New Roman" w:hAnsi="Times New Roman"/>
          <w:sz w:val="24"/>
          <w:szCs w:val="24"/>
          <w:lang w:val="en-US"/>
        </w:rPr>
        <w:t>S</w:t>
      </w:r>
      <w:r w:rsidR="00EE5857" w:rsidRPr="00444B9C">
        <w:rPr>
          <w:rFonts w:ascii="Times New Roman" w:hAnsi="Times New Roman"/>
          <w:sz w:val="24"/>
          <w:szCs w:val="24"/>
          <w:lang w:val="uk-UA"/>
        </w:rPr>
        <w:t xml:space="preserve"> – </w:t>
      </w:r>
      <w:r w:rsidR="00EE5857" w:rsidRPr="00444B9C">
        <w:rPr>
          <w:rFonts w:ascii="Times New Roman" w:hAnsi="Times New Roman"/>
          <w:sz w:val="24"/>
          <w:szCs w:val="24"/>
          <w:lang w:val="en-US"/>
        </w:rPr>
        <w:t>International</w:t>
      </w:r>
      <w:r w:rsidR="00EE5857" w:rsidRPr="00444B9C">
        <w:rPr>
          <w:rFonts w:ascii="Times New Roman" w:hAnsi="Times New Roman"/>
          <w:sz w:val="24"/>
          <w:szCs w:val="24"/>
          <w:lang w:val="uk-UA"/>
        </w:rPr>
        <w:t xml:space="preserve"> </w:t>
      </w:r>
      <w:r w:rsidR="00EE5857" w:rsidRPr="00444B9C">
        <w:rPr>
          <w:rFonts w:ascii="Times New Roman" w:hAnsi="Times New Roman"/>
          <w:sz w:val="24"/>
          <w:szCs w:val="24"/>
          <w:lang w:val="en-US"/>
        </w:rPr>
        <w:t>Accounting</w:t>
      </w:r>
      <w:r w:rsidR="00EE5857" w:rsidRPr="00444B9C">
        <w:rPr>
          <w:rFonts w:ascii="Times New Roman" w:hAnsi="Times New Roman"/>
          <w:sz w:val="24"/>
          <w:szCs w:val="24"/>
          <w:lang w:val="uk-UA"/>
        </w:rPr>
        <w:t xml:space="preserve"> </w:t>
      </w:r>
      <w:r w:rsidR="00EE5857" w:rsidRPr="00444B9C">
        <w:rPr>
          <w:rFonts w:ascii="Times New Roman" w:hAnsi="Times New Roman"/>
          <w:sz w:val="24"/>
          <w:szCs w:val="24"/>
          <w:lang w:val="en-US"/>
        </w:rPr>
        <w:t>Standards</w:t>
      </w:r>
      <w:r w:rsidR="00EE5857" w:rsidRPr="00444B9C">
        <w:rPr>
          <w:rFonts w:ascii="Times New Roman" w:hAnsi="Times New Roman"/>
          <w:sz w:val="24"/>
          <w:szCs w:val="24"/>
          <w:lang w:val="uk-UA"/>
        </w:rPr>
        <w:t>)</w:t>
      </w:r>
      <w:r w:rsidR="00EE5857" w:rsidRPr="00444B9C">
        <w:rPr>
          <w:rFonts w:ascii="Times New Roman" w:hAnsi="Times New Roman"/>
          <w:iCs/>
          <w:sz w:val="24"/>
          <w:szCs w:val="24"/>
          <w:lang w:val="uk-UA"/>
        </w:rPr>
        <w:t>, Міжнародн</w:t>
      </w:r>
      <w:r w:rsidRPr="00444B9C">
        <w:rPr>
          <w:rFonts w:ascii="Times New Roman" w:hAnsi="Times New Roman"/>
          <w:iCs/>
          <w:sz w:val="24"/>
          <w:szCs w:val="24"/>
          <w:lang w:val="uk-UA"/>
        </w:rPr>
        <w:t>им</w:t>
      </w:r>
      <w:r w:rsidR="00EE5857" w:rsidRPr="00444B9C">
        <w:rPr>
          <w:rFonts w:ascii="Times New Roman" w:hAnsi="Times New Roman"/>
          <w:iCs/>
          <w:sz w:val="24"/>
          <w:szCs w:val="24"/>
          <w:lang w:val="uk-UA"/>
        </w:rPr>
        <w:t xml:space="preserve"> стандарти фінансової звітності </w:t>
      </w:r>
      <w:r w:rsidR="00EE5857" w:rsidRPr="00444B9C">
        <w:rPr>
          <w:rFonts w:ascii="Times New Roman" w:hAnsi="Times New Roman"/>
          <w:sz w:val="24"/>
          <w:szCs w:val="24"/>
          <w:lang w:val="uk-UA"/>
        </w:rPr>
        <w:t xml:space="preserve">(IFRS – </w:t>
      </w:r>
      <w:r w:rsidR="00EE5857" w:rsidRPr="00444B9C">
        <w:rPr>
          <w:rFonts w:ascii="Times New Roman" w:hAnsi="Times New Roman"/>
          <w:sz w:val="24"/>
          <w:szCs w:val="24"/>
          <w:lang w:val="en-US"/>
        </w:rPr>
        <w:t>International</w:t>
      </w:r>
      <w:r w:rsidR="00EE5857" w:rsidRPr="00444B9C">
        <w:rPr>
          <w:rFonts w:ascii="Times New Roman" w:hAnsi="Times New Roman"/>
          <w:sz w:val="24"/>
          <w:szCs w:val="24"/>
          <w:lang w:val="uk-UA"/>
        </w:rPr>
        <w:t xml:space="preserve"> </w:t>
      </w:r>
      <w:r w:rsidR="00EE5857" w:rsidRPr="00444B9C">
        <w:rPr>
          <w:rFonts w:ascii="Times New Roman" w:hAnsi="Times New Roman"/>
          <w:sz w:val="24"/>
          <w:szCs w:val="24"/>
          <w:lang w:val="en-US"/>
        </w:rPr>
        <w:t>Financial</w:t>
      </w:r>
      <w:r w:rsidR="00EE5857" w:rsidRPr="00444B9C">
        <w:rPr>
          <w:rFonts w:ascii="Times New Roman" w:hAnsi="Times New Roman"/>
          <w:sz w:val="24"/>
          <w:szCs w:val="24"/>
          <w:lang w:val="uk-UA"/>
        </w:rPr>
        <w:t xml:space="preserve"> </w:t>
      </w:r>
      <w:r w:rsidR="00EE5857" w:rsidRPr="00444B9C">
        <w:rPr>
          <w:rFonts w:ascii="Times New Roman" w:hAnsi="Times New Roman"/>
          <w:sz w:val="24"/>
          <w:szCs w:val="24"/>
          <w:lang w:val="en-US"/>
        </w:rPr>
        <w:t>Reporting</w:t>
      </w:r>
      <w:r w:rsidR="00EE5857" w:rsidRPr="00444B9C">
        <w:rPr>
          <w:rFonts w:ascii="Times New Roman" w:hAnsi="Times New Roman"/>
          <w:sz w:val="24"/>
          <w:szCs w:val="24"/>
          <w:lang w:val="uk-UA"/>
        </w:rPr>
        <w:t xml:space="preserve"> </w:t>
      </w:r>
      <w:r w:rsidR="00EE5857" w:rsidRPr="00444B9C">
        <w:rPr>
          <w:rFonts w:ascii="Times New Roman" w:hAnsi="Times New Roman"/>
          <w:sz w:val="24"/>
          <w:szCs w:val="24"/>
          <w:lang w:val="en-US"/>
        </w:rPr>
        <w:t>Standards</w:t>
      </w:r>
      <w:r w:rsidR="00EE5857" w:rsidRPr="00444B9C">
        <w:rPr>
          <w:rFonts w:ascii="Times New Roman" w:hAnsi="Times New Roman"/>
          <w:sz w:val="24"/>
          <w:szCs w:val="24"/>
          <w:lang w:val="uk-UA"/>
        </w:rPr>
        <w:t>)</w:t>
      </w:r>
      <w:r w:rsidRPr="00444B9C">
        <w:rPr>
          <w:rFonts w:ascii="Times New Roman" w:hAnsi="Times New Roman"/>
          <w:sz w:val="24"/>
          <w:szCs w:val="24"/>
          <w:lang w:val="uk-UA"/>
        </w:rPr>
        <w:t>, прийнятим</w:t>
      </w:r>
      <w:r w:rsidR="00EE5857" w:rsidRPr="00444B9C">
        <w:rPr>
          <w:rFonts w:ascii="Times New Roman" w:hAnsi="Times New Roman"/>
          <w:sz w:val="24"/>
          <w:szCs w:val="24"/>
          <w:lang w:val="uk-UA"/>
        </w:rPr>
        <w:t xml:space="preserve"> Правлінням Комітету з Міжнародних стандартів, Тлумачення</w:t>
      </w:r>
      <w:r w:rsidRPr="00444B9C">
        <w:rPr>
          <w:rFonts w:ascii="Times New Roman" w:hAnsi="Times New Roman"/>
          <w:sz w:val="24"/>
          <w:szCs w:val="24"/>
          <w:lang w:val="uk-UA"/>
        </w:rPr>
        <w:t>м, розробленим</w:t>
      </w:r>
      <w:r w:rsidR="00EE5857" w:rsidRPr="00444B9C">
        <w:rPr>
          <w:rFonts w:ascii="Times New Roman" w:hAnsi="Times New Roman"/>
          <w:sz w:val="24"/>
          <w:szCs w:val="24"/>
          <w:lang w:val="uk-UA"/>
        </w:rPr>
        <w:t xml:space="preserve"> Комітетом з тлумачень міжнародної фінансової звітності (КТМФЗ, ПКТ), </w:t>
      </w:r>
      <w:r w:rsidRPr="00444B9C">
        <w:rPr>
          <w:rFonts w:ascii="Times New Roman" w:hAnsi="Times New Roman"/>
          <w:sz w:val="24"/>
          <w:szCs w:val="24"/>
          <w:lang w:val="uk-UA"/>
        </w:rPr>
        <w:t xml:space="preserve">а також </w:t>
      </w:r>
      <w:r w:rsidR="00EE5857" w:rsidRPr="00444B9C">
        <w:rPr>
          <w:rFonts w:ascii="Times New Roman" w:hAnsi="Times New Roman"/>
          <w:sz w:val="24"/>
          <w:szCs w:val="24"/>
          <w:lang w:val="uk-UA"/>
        </w:rPr>
        <w:t>Закон</w:t>
      </w:r>
      <w:r w:rsidRPr="00444B9C">
        <w:rPr>
          <w:rFonts w:ascii="Times New Roman" w:hAnsi="Times New Roman"/>
          <w:sz w:val="24"/>
          <w:szCs w:val="24"/>
          <w:lang w:val="uk-UA"/>
        </w:rPr>
        <w:t>у</w:t>
      </w:r>
      <w:r w:rsidR="00EE5857" w:rsidRPr="00444B9C">
        <w:rPr>
          <w:rFonts w:ascii="Times New Roman" w:hAnsi="Times New Roman"/>
          <w:sz w:val="24"/>
          <w:szCs w:val="24"/>
          <w:lang w:val="uk-UA"/>
        </w:rPr>
        <w:t xml:space="preserve"> України “Про бухгалтерський облік та фінансову звітність в Україні”, інш</w:t>
      </w:r>
      <w:r w:rsidRPr="00444B9C">
        <w:rPr>
          <w:rFonts w:ascii="Times New Roman" w:hAnsi="Times New Roman"/>
          <w:sz w:val="24"/>
          <w:szCs w:val="24"/>
          <w:lang w:val="uk-UA"/>
        </w:rPr>
        <w:t>им</w:t>
      </w:r>
      <w:r w:rsidR="00EE5857" w:rsidRPr="00444B9C">
        <w:rPr>
          <w:rFonts w:ascii="Times New Roman" w:hAnsi="Times New Roman"/>
          <w:sz w:val="24"/>
          <w:szCs w:val="24"/>
          <w:lang w:val="uk-UA"/>
        </w:rPr>
        <w:t xml:space="preserve"> національн</w:t>
      </w:r>
      <w:r w:rsidRPr="00444B9C">
        <w:rPr>
          <w:rFonts w:ascii="Times New Roman" w:hAnsi="Times New Roman"/>
          <w:sz w:val="24"/>
          <w:szCs w:val="24"/>
          <w:lang w:val="uk-UA"/>
        </w:rPr>
        <w:t>і законодавчі та нормативні актам</w:t>
      </w:r>
      <w:r w:rsidR="00EE5857" w:rsidRPr="00444B9C">
        <w:rPr>
          <w:rFonts w:ascii="Times New Roman" w:hAnsi="Times New Roman"/>
          <w:sz w:val="24"/>
          <w:szCs w:val="24"/>
          <w:lang w:val="uk-UA"/>
        </w:rPr>
        <w:t xml:space="preserve"> щодо організації і ведення бухгалтерського обліку та складання фінансової звітності в Україні, які не суперечать вимогам МСБО в редакції чинній на 01 січня 2016 року та офіційно оприлюдненні на веб-сайті Мініст</w:t>
      </w:r>
      <w:r w:rsidRPr="00444B9C">
        <w:rPr>
          <w:rFonts w:ascii="Times New Roman" w:hAnsi="Times New Roman"/>
          <w:sz w:val="24"/>
          <w:szCs w:val="24"/>
          <w:lang w:val="uk-UA"/>
        </w:rPr>
        <w:t>ерства фінансів України.</w:t>
      </w:r>
    </w:p>
    <w:p w:rsidR="00EE5857" w:rsidRPr="00444B9C" w:rsidRDefault="00EE5857" w:rsidP="00EE5857">
      <w:pPr>
        <w:shd w:val="clear" w:color="auto" w:fill="FFFFFF"/>
        <w:tabs>
          <w:tab w:val="left" w:pos="0"/>
        </w:tabs>
        <w:jc w:val="both"/>
        <w:rPr>
          <w:lang w:val="uk-UA"/>
        </w:rPr>
      </w:pPr>
      <w:r w:rsidRPr="00444B9C">
        <w:rPr>
          <w:lang w:val="uk-UA"/>
        </w:rPr>
        <w:t>Міжнародні стандарти бухгалтерського обліку та фінансової звітності, які прийняті та офіційно наведені на веб-сайті Міністерства фінансів України, але ще не набули чинності, Компанією не застосовуються.</w:t>
      </w:r>
    </w:p>
    <w:p w:rsidR="00EE5857" w:rsidRPr="00444B9C" w:rsidRDefault="00EE5857" w:rsidP="00EE5857">
      <w:pPr>
        <w:tabs>
          <w:tab w:val="left" w:pos="0"/>
        </w:tabs>
        <w:jc w:val="both"/>
        <w:rPr>
          <w:lang w:val="uk-UA"/>
        </w:rPr>
      </w:pPr>
      <w:r w:rsidRPr="00444B9C">
        <w:rPr>
          <w:lang w:val="uk-UA" w:eastAsia="uk-UA"/>
        </w:rPr>
        <w:t>П</w:t>
      </w:r>
      <w:r w:rsidRPr="00444B9C">
        <w:rPr>
          <w:lang w:val="uk-UA"/>
        </w:rPr>
        <w:t>ринципи побудови, методи i процедури застосування облікової політики підприємства, здійснюються згідно Положення про облікову політику та організацію бухгалтерського о</w:t>
      </w:r>
      <w:r w:rsidR="00E25A12">
        <w:rPr>
          <w:lang w:val="uk-UA"/>
        </w:rPr>
        <w:t xml:space="preserve">бліку </w:t>
      </w:r>
      <w:r w:rsidRPr="00444B9C">
        <w:rPr>
          <w:lang w:val="uk-UA"/>
        </w:rPr>
        <w:t xml:space="preserve">ТОВАРИСТВА З ОБМЕЖЕНОЮ ВІДПОВІДАЛЬНІСТЮ </w:t>
      </w:r>
      <w:r w:rsidR="00E25A12">
        <w:rPr>
          <w:lang w:val="uk-UA"/>
        </w:rPr>
        <w:t xml:space="preserve">«ФІНАНСОВА КОМПАНІЯ </w:t>
      </w:r>
      <w:r w:rsidRPr="00444B9C">
        <w:rPr>
          <w:lang w:val="uk-UA"/>
        </w:rPr>
        <w:t>«</w:t>
      </w:r>
      <w:r w:rsidR="00F92D8E">
        <w:rPr>
          <w:lang w:val="uk-UA"/>
        </w:rPr>
        <w:t>ТОЛОКА</w:t>
      </w:r>
      <w:r w:rsidRPr="00444B9C">
        <w:rPr>
          <w:lang w:val="uk-UA"/>
        </w:rPr>
        <w:t xml:space="preserve">», </w:t>
      </w:r>
      <w:r w:rsidRPr="00EE1018">
        <w:rPr>
          <w:lang w:val="uk-UA"/>
        </w:rPr>
        <w:t xml:space="preserve">яке затверджене Наказом № </w:t>
      </w:r>
      <w:r w:rsidR="00EE1018" w:rsidRPr="00EE1018">
        <w:rPr>
          <w:lang w:val="uk-UA"/>
        </w:rPr>
        <w:t>3 від 02</w:t>
      </w:r>
      <w:r w:rsidRPr="00EE1018">
        <w:rPr>
          <w:lang w:val="uk-UA"/>
        </w:rPr>
        <w:t>.01.201</w:t>
      </w:r>
      <w:r w:rsidR="00EE1018" w:rsidRPr="00EE1018">
        <w:rPr>
          <w:lang w:val="uk-UA"/>
        </w:rPr>
        <w:t>3</w:t>
      </w:r>
      <w:r w:rsidRPr="00EE1018">
        <w:rPr>
          <w:lang w:val="uk-UA"/>
        </w:rPr>
        <w:t xml:space="preserve"> року.</w:t>
      </w:r>
    </w:p>
    <w:p w:rsidR="0078602D" w:rsidRPr="00444B9C" w:rsidRDefault="0078602D" w:rsidP="0078602D">
      <w:pPr>
        <w:shd w:val="clear" w:color="auto" w:fill="FFFFFF"/>
        <w:tabs>
          <w:tab w:val="left" w:pos="0"/>
        </w:tabs>
        <w:jc w:val="both"/>
        <w:rPr>
          <w:lang w:val="uk-UA"/>
        </w:rPr>
      </w:pPr>
      <w:r w:rsidRPr="00444B9C">
        <w:rPr>
          <w:lang w:val="uk-UA"/>
        </w:rPr>
        <w:t>Внутрішні нормативні документи та положення Товариства стосовно визначення облікової політики, ведення бухгалтерського обліку та складання фінансової звітності складені у відповідності до МСБО.</w:t>
      </w:r>
    </w:p>
    <w:p w:rsidR="00EE5857" w:rsidRPr="00444B9C" w:rsidRDefault="00EE5857" w:rsidP="00EE5857">
      <w:pPr>
        <w:tabs>
          <w:tab w:val="left" w:pos="0"/>
        </w:tabs>
        <w:jc w:val="both"/>
        <w:rPr>
          <w:lang w:val="uk-UA"/>
        </w:rPr>
      </w:pPr>
      <w:r w:rsidRPr="00444B9C">
        <w:rPr>
          <w:lang w:val="uk-UA"/>
        </w:rPr>
        <w:t xml:space="preserve">Товариство застосовує </w:t>
      </w:r>
      <w:r w:rsidR="0078602D" w:rsidRPr="00444B9C">
        <w:rPr>
          <w:lang w:val="uk-UA"/>
        </w:rPr>
        <w:t>необхідний</w:t>
      </w:r>
      <w:r w:rsidRPr="00444B9C">
        <w:rPr>
          <w:lang w:val="uk-UA"/>
        </w:rPr>
        <w:t xml:space="preserve"> та </w:t>
      </w:r>
      <w:r w:rsidR="0078602D" w:rsidRPr="00444B9C">
        <w:rPr>
          <w:lang w:val="uk-UA"/>
        </w:rPr>
        <w:t>достатній</w:t>
      </w:r>
      <w:r w:rsidRPr="00444B9C">
        <w:rPr>
          <w:lang w:val="uk-UA"/>
        </w:rPr>
        <w:t xml:space="preserve"> спектр бухгалтерських </w:t>
      </w:r>
      <w:r w:rsidR="0078602D" w:rsidRPr="00444B9C">
        <w:rPr>
          <w:lang w:val="uk-UA"/>
        </w:rPr>
        <w:t>рахунків</w:t>
      </w:r>
      <w:r w:rsidRPr="00444B9C">
        <w:rPr>
          <w:lang w:val="uk-UA"/>
        </w:rPr>
        <w:t xml:space="preserve">, </w:t>
      </w:r>
      <w:r w:rsidR="0078602D" w:rsidRPr="00444B9C">
        <w:rPr>
          <w:lang w:val="uk-UA"/>
        </w:rPr>
        <w:t>які</w:t>
      </w:r>
      <w:r w:rsidRPr="00444B9C">
        <w:rPr>
          <w:lang w:val="uk-UA"/>
        </w:rPr>
        <w:t xml:space="preserve"> дають </w:t>
      </w:r>
      <w:r w:rsidR="0078602D" w:rsidRPr="00444B9C">
        <w:rPr>
          <w:lang w:val="uk-UA"/>
        </w:rPr>
        <w:t>можливість</w:t>
      </w:r>
      <w:r w:rsidRPr="00444B9C">
        <w:rPr>
          <w:lang w:val="uk-UA"/>
        </w:rPr>
        <w:t xml:space="preserve"> </w:t>
      </w:r>
      <w:r w:rsidR="0078602D" w:rsidRPr="00444B9C">
        <w:rPr>
          <w:lang w:val="uk-UA"/>
        </w:rPr>
        <w:t>здійснювати</w:t>
      </w:r>
      <w:r w:rsidRPr="00444B9C">
        <w:rPr>
          <w:lang w:val="uk-UA"/>
        </w:rPr>
        <w:t xml:space="preserve"> повний </w:t>
      </w:r>
      <w:r w:rsidR="0087246B">
        <w:rPr>
          <w:lang w:val="uk-UA"/>
        </w:rPr>
        <w:t>облік</w:t>
      </w:r>
      <w:r w:rsidRPr="00444B9C">
        <w:rPr>
          <w:lang w:val="uk-UA"/>
        </w:rPr>
        <w:t xml:space="preserve"> </w:t>
      </w:r>
      <w:r w:rsidR="0078602D" w:rsidRPr="00444B9C">
        <w:rPr>
          <w:lang w:val="uk-UA"/>
        </w:rPr>
        <w:t>усіх</w:t>
      </w:r>
      <w:r w:rsidRPr="00444B9C">
        <w:rPr>
          <w:lang w:val="uk-UA"/>
        </w:rPr>
        <w:t xml:space="preserve"> господарських </w:t>
      </w:r>
      <w:r w:rsidR="0078602D" w:rsidRPr="00444B9C">
        <w:rPr>
          <w:lang w:val="uk-UA"/>
        </w:rPr>
        <w:t>операцій</w:t>
      </w:r>
      <w:r w:rsidRPr="00444B9C">
        <w:rPr>
          <w:lang w:val="uk-UA"/>
        </w:rPr>
        <w:t xml:space="preserve">, а також їх </w:t>
      </w:r>
      <w:r w:rsidR="0078602D" w:rsidRPr="00444B9C">
        <w:rPr>
          <w:lang w:val="uk-UA"/>
        </w:rPr>
        <w:t>аналітичної</w:t>
      </w:r>
      <w:r w:rsidRPr="00444B9C">
        <w:rPr>
          <w:lang w:val="uk-UA"/>
        </w:rPr>
        <w:t xml:space="preserve"> структури</w:t>
      </w:r>
      <w:r w:rsidR="0078602D" w:rsidRPr="00444B9C">
        <w:rPr>
          <w:lang w:val="uk-UA"/>
        </w:rPr>
        <w:t>,</w:t>
      </w:r>
      <w:r w:rsidRPr="00444B9C">
        <w:rPr>
          <w:lang w:val="uk-UA"/>
        </w:rPr>
        <w:t xml:space="preserve"> для забезпечення </w:t>
      </w:r>
      <w:r w:rsidR="0078602D" w:rsidRPr="00444B9C">
        <w:rPr>
          <w:lang w:val="uk-UA"/>
        </w:rPr>
        <w:t xml:space="preserve">надання </w:t>
      </w:r>
      <w:r w:rsidRPr="00444B9C">
        <w:rPr>
          <w:lang w:val="uk-UA"/>
        </w:rPr>
        <w:t xml:space="preserve">детальної та </w:t>
      </w:r>
      <w:r w:rsidR="0078602D" w:rsidRPr="00444B9C">
        <w:rPr>
          <w:lang w:val="uk-UA"/>
        </w:rPr>
        <w:t>змістовної</w:t>
      </w:r>
      <w:r w:rsidRPr="00444B9C">
        <w:rPr>
          <w:lang w:val="uk-UA"/>
        </w:rPr>
        <w:t xml:space="preserve"> </w:t>
      </w:r>
      <w:r w:rsidR="0078602D" w:rsidRPr="00444B9C">
        <w:rPr>
          <w:lang w:val="uk-UA"/>
        </w:rPr>
        <w:t>інформації</w:t>
      </w:r>
      <w:r w:rsidRPr="00444B9C">
        <w:rPr>
          <w:lang w:val="uk-UA"/>
        </w:rPr>
        <w:t xml:space="preserve"> </w:t>
      </w:r>
      <w:r w:rsidR="0078602D" w:rsidRPr="00444B9C">
        <w:rPr>
          <w:lang w:val="uk-UA"/>
        </w:rPr>
        <w:t>з ціллю</w:t>
      </w:r>
      <w:r w:rsidRPr="00444B9C">
        <w:rPr>
          <w:lang w:val="uk-UA"/>
        </w:rPr>
        <w:t xml:space="preserve"> прийняття </w:t>
      </w:r>
      <w:r w:rsidR="0078602D" w:rsidRPr="00444B9C">
        <w:rPr>
          <w:lang w:val="uk-UA"/>
        </w:rPr>
        <w:t>управлінських</w:t>
      </w:r>
      <w:r w:rsidRPr="00444B9C">
        <w:rPr>
          <w:lang w:val="uk-UA"/>
        </w:rPr>
        <w:t xml:space="preserve"> </w:t>
      </w:r>
      <w:r w:rsidR="0078602D" w:rsidRPr="00444B9C">
        <w:rPr>
          <w:lang w:val="uk-UA"/>
        </w:rPr>
        <w:t>рішень</w:t>
      </w:r>
      <w:r w:rsidRPr="00444B9C">
        <w:rPr>
          <w:lang w:val="uk-UA"/>
        </w:rPr>
        <w:t>, складання подат</w:t>
      </w:r>
      <w:r w:rsidR="0078602D" w:rsidRPr="00444B9C">
        <w:rPr>
          <w:lang w:val="uk-UA"/>
        </w:rPr>
        <w:t>кової та статистичної звiтностi та надання іншої інформації щодо діяльності Товариства користувачам його звітності</w:t>
      </w:r>
      <w:r w:rsidR="00500BA2" w:rsidRPr="00444B9C">
        <w:rPr>
          <w:lang w:val="uk-UA"/>
        </w:rPr>
        <w:t>.</w:t>
      </w:r>
    </w:p>
    <w:p w:rsidR="00444B9C" w:rsidRDefault="00444B9C" w:rsidP="00DA24B8">
      <w:pPr>
        <w:spacing w:line="276" w:lineRule="auto"/>
        <w:rPr>
          <w:b/>
          <w:bCs/>
          <w:sz w:val="20"/>
          <w:szCs w:val="20"/>
          <w:lang w:val="uk-UA" w:eastAsia="uk-UA"/>
        </w:rPr>
      </w:pPr>
    </w:p>
    <w:p w:rsidR="00DA24B8" w:rsidRPr="005901D3" w:rsidRDefault="00444B9C" w:rsidP="005901D3">
      <w:pPr>
        <w:rPr>
          <w:u w:val="single"/>
          <w:lang w:val="uk-UA"/>
        </w:rPr>
      </w:pPr>
      <w:r w:rsidRPr="005901D3">
        <w:rPr>
          <w:b/>
          <w:bCs/>
          <w:u w:val="single"/>
          <w:lang w:val="uk-UA" w:eastAsia="uk-UA"/>
        </w:rPr>
        <w:t>Щодо основних принципів</w:t>
      </w:r>
      <w:r w:rsidR="00DA24B8" w:rsidRPr="005901D3">
        <w:rPr>
          <w:b/>
          <w:bCs/>
          <w:u w:val="single"/>
          <w:lang w:val="uk-UA" w:eastAsia="uk-UA"/>
        </w:rPr>
        <w:t xml:space="preserve"> облікової політики</w:t>
      </w:r>
    </w:p>
    <w:p w:rsidR="00444B9C" w:rsidRPr="005901D3" w:rsidRDefault="00444B9C" w:rsidP="005901D3">
      <w:pPr>
        <w:jc w:val="both"/>
        <w:rPr>
          <w:lang w:val="uk-UA" w:eastAsia="uk-UA"/>
        </w:rPr>
      </w:pPr>
      <w:r w:rsidRPr="005901D3">
        <w:rPr>
          <w:lang w:val="uk-UA" w:eastAsia="uk-UA"/>
        </w:rPr>
        <w:t>Ф</w:t>
      </w:r>
      <w:r w:rsidR="00DA24B8" w:rsidRPr="005901D3">
        <w:rPr>
          <w:lang w:val="uk-UA" w:eastAsia="uk-UA"/>
        </w:rPr>
        <w:t xml:space="preserve">інансова звітність </w:t>
      </w:r>
      <w:r w:rsidRPr="005901D3">
        <w:rPr>
          <w:lang w:val="uk-UA" w:eastAsia="uk-UA"/>
        </w:rPr>
        <w:t xml:space="preserve">Товариства </w:t>
      </w:r>
      <w:r w:rsidR="00DA24B8" w:rsidRPr="005901D3">
        <w:rPr>
          <w:lang w:val="uk-UA" w:eastAsia="uk-UA"/>
        </w:rPr>
        <w:t xml:space="preserve">була підготовлена відповідно до </w:t>
      </w:r>
      <w:r w:rsidRPr="005901D3">
        <w:rPr>
          <w:lang w:val="uk-UA" w:eastAsia="uk-UA"/>
        </w:rPr>
        <w:t xml:space="preserve">МСБО. </w:t>
      </w:r>
      <w:r w:rsidR="00DA24B8" w:rsidRPr="005901D3">
        <w:rPr>
          <w:lang w:val="uk-UA" w:eastAsia="uk-UA"/>
        </w:rPr>
        <w:t>Основні принципи облікової політики, що використовувались у ході підготовки цієї фінансової звітності, наведено далі. Ці принципи застосовувались послідовно відносно всіх періодів, поданих у зв</w:t>
      </w:r>
      <w:r w:rsidRPr="005901D3">
        <w:rPr>
          <w:lang w:val="uk-UA" w:eastAsia="uk-UA"/>
        </w:rPr>
        <w:t>ітності, якщо не зазначено інше</w:t>
      </w:r>
    </w:p>
    <w:p w:rsidR="00A60936" w:rsidRPr="005901D3" w:rsidRDefault="00A60936" w:rsidP="005901D3">
      <w:pPr>
        <w:jc w:val="both"/>
        <w:rPr>
          <w:bCs/>
          <w:lang w:val="uk-UA" w:eastAsia="uk-UA"/>
        </w:rPr>
      </w:pPr>
      <w:r w:rsidRPr="005901D3">
        <w:rPr>
          <w:b/>
          <w:bCs/>
          <w:lang w:val="uk-UA" w:eastAsia="uk-UA"/>
        </w:rPr>
        <w:t xml:space="preserve">Основні засоби та нематеріальні активи. </w:t>
      </w:r>
      <w:r w:rsidR="0057322C" w:rsidRPr="005901D3">
        <w:rPr>
          <w:bCs/>
          <w:lang w:val="uk-UA" w:eastAsia="uk-UA"/>
        </w:rPr>
        <w:t>Для обліку основних засобів та нематеріальних активів</w:t>
      </w:r>
      <w:r w:rsidRPr="005901D3">
        <w:rPr>
          <w:bCs/>
          <w:lang w:val="uk-UA" w:eastAsia="uk-UA"/>
        </w:rPr>
        <w:t xml:space="preserve"> </w:t>
      </w:r>
      <w:r w:rsidR="0057322C" w:rsidRPr="005901D3">
        <w:rPr>
          <w:bCs/>
          <w:lang w:val="uk-UA" w:eastAsia="uk-UA"/>
        </w:rPr>
        <w:t>Товариством використовується модель собівартості</w:t>
      </w:r>
      <w:r w:rsidRPr="005901D3">
        <w:rPr>
          <w:bCs/>
          <w:lang w:val="uk-UA" w:eastAsia="uk-UA"/>
        </w:rPr>
        <w:t>, за вирахуванням накопиченої амортизації та збитків</w:t>
      </w:r>
      <w:r w:rsidR="0057322C" w:rsidRPr="005901D3">
        <w:rPr>
          <w:bCs/>
          <w:lang w:val="uk-UA" w:eastAsia="uk-UA"/>
        </w:rPr>
        <w:t xml:space="preserve"> від зменшення корисності. </w:t>
      </w:r>
      <w:r w:rsidRPr="005901D3">
        <w:rPr>
          <w:lang w:val="uk-UA" w:eastAsia="uk-UA"/>
        </w:rPr>
        <w:t>Амортизація</w:t>
      </w:r>
      <w:r w:rsidR="0057322C" w:rsidRPr="005901D3">
        <w:rPr>
          <w:lang w:val="uk-UA" w:eastAsia="uk-UA"/>
        </w:rPr>
        <w:t xml:space="preserve"> нараховується прямолінійним методом з урахуванням</w:t>
      </w:r>
      <w:r w:rsidRPr="005901D3">
        <w:rPr>
          <w:lang w:val="uk-UA" w:eastAsia="uk-UA"/>
        </w:rPr>
        <w:t xml:space="preserve"> </w:t>
      </w:r>
      <w:r w:rsidR="0057322C" w:rsidRPr="005901D3">
        <w:rPr>
          <w:lang w:val="uk-UA" w:eastAsia="uk-UA"/>
        </w:rPr>
        <w:t>строку корисного використання об’єкту.</w:t>
      </w:r>
      <w:r w:rsidR="0057322C" w:rsidRPr="005901D3">
        <w:rPr>
          <w:bCs/>
          <w:lang w:val="uk-UA" w:eastAsia="uk-UA"/>
        </w:rPr>
        <w:t xml:space="preserve"> </w:t>
      </w:r>
      <w:r w:rsidRPr="005901D3">
        <w:rPr>
          <w:lang w:val="uk-UA" w:eastAsia="uk-UA"/>
        </w:rPr>
        <w:t>Ліквідаційна вартість активу – це оціночна сума, яку  Товариство отримала б у теперішній момент від продажу цього активу, за мінусом оціночних витрат на продаж, якби стан та строк експлуатації даного активу відповідав строку експлуатації та стану, які цей актив матиме наприкінці строку корис</w:t>
      </w:r>
      <w:bookmarkStart w:id="0" w:name="_GoBack"/>
      <w:bookmarkEnd w:id="0"/>
      <w:r w:rsidRPr="005901D3">
        <w:rPr>
          <w:lang w:val="uk-UA" w:eastAsia="uk-UA"/>
        </w:rPr>
        <w:t xml:space="preserve">ного використання. </w:t>
      </w:r>
    </w:p>
    <w:p w:rsidR="00A60936" w:rsidRPr="005901D3" w:rsidRDefault="00A60936" w:rsidP="005901D3">
      <w:pPr>
        <w:jc w:val="both"/>
        <w:rPr>
          <w:lang w:val="uk-UA" w:eastAsia="uk-UA"/>
        </w:rPr>
      </w:pPr>
      <w:r w:rsidRPr="005901D3">
        <w:rPr>
          <w:b/>
          <w:bCs/>
          <w:lang w:val="uk-UA" w:eastAsia="uk-UA"/>
        </w:rPr>
        <w:lastRenderedPageBreak/>
        <w:t>Витрати</w:t>
      </w:r>
      <w:r w:rsidRPr="005901D3">
        <w:rPr>
          <w:bCs/>
          <w:lang w:val="uk-UA" w:eastAsia="uk-UA"/>
        </w:rPr>
        <w:t xml:space="preserve"> на ремонт та технічне обслуговування визнаються витратами по мірі їх виникнення.</w:t>
      </w:r>
      <w:r w:rsidRPr="005901D3">
        <w:rPr>
          <w:lang w:val="uk-UA" w:eastAsia="uk-UA"/>
        </w:rPr>
        <w:t xml:space="preserve"> Витрати на заміну значних компонентів основних засобів капіталізуються із наступним списанням заміненого компоненту.</w:t>
      </w:r>
    </w:p>
    <w:p w:rsidR="00A60936" w:rsidRPr="005901D3" w:rsidRDefault="00A60936" w:rsidP="005901D3">
      <w:pPr>
        <w:jc w:val="both"/>
        <w:rPr>
          <w:lang w:val="uk-UA" w:eastAsia="uk-UA"/>
        </w:rPr>
      </w:pPr>
      <w:r w:rsidRPr="005901D3">
        <w:rPr>
          <w:lang w:val="uk-UA" w:eastAsia="uk-UA"/>
        </w:rPr>
        <w:t xml:space="preserve">Наприкінці кожного звітного періоду проводиться оцінка наявності ознак знецінення </w:t>
      </w:r>
      <w:r w:rsidR="0057322C" w:rsidRPr="005901D3">
        <w:rPr>
          <w:lang w:val="uk-UA" w:eastAsia="uk-UA"/>
        </w:rPr>
        <w:t>основних засобів та необоротних активів</w:t>
      </w:r>
      <w:r w:rsidRPr="005901D3">
        <w:rPr>
          <w:lang w:val="uk-UA" w:eastAsia="uk-UA"/>
        </w:rPr>
        <w:t xml:space="preserve">. Якщо такі ознаки існують, розраховується вартість відшкодування, яка дорівнює справедливій вартості активу мінус витрати на продаж або вартості використання, залежно від того, яка з цих сум більша. Балансова вартість активу зменшується до вартості відшкодування, а збиток від знецінення визнається у прибутку чи збитку за рік. Збиток від знецінення, відображений щодо будь-якого активу у минулих періодах, </w:t>
      </w:r>
      <w:r w:rsidR="0057322C" w:rsidRPr="005901D3">
        <w:rPr>
          <w:lang w:val="uk-UA" w:eastAsia="uk-UA"/>
        </w:rPr>
        <w:t>зменшується</w:t>
      </w:r>
      <w:r w:rsidRPr="005901D3">
        <w:rPr>
          <w:lang w:val="uk-UA" w:eastAsia="uk-UA"/>
        </w:rPr>
        <w:t>, якщо мала місце зміна в оцінках, що використовувались для визначення вартості використання активу або його справедливої вартості за мінусом витр</w:t>
      </w:r>
      <w:r w:rsidR="005901D3">
        <w:rPr>
          <w:lang w:val="uk-UA" w:eastAsia="uk-UA"/>
        </w:rPr>
        <w:t>ат на продаж.</w:t>
      </w:r>
    </w:p>
    <w:p w:rsidR="0057322C" w:rsidRPr="005901D3" w:rsidRDefault="00A60936" w:rsidP="005901D3">
      <w:pPr>
        <w:jc w:val="both"/>
        <w:rPr>
          <w:lang w:val="uk-UA" w:eastAsia="uk-UA"/>
        </w:rPr>
      </w:pPr>
      <w:r w:rsidRPr="005901D3">
        <w:rPr>
          <w:lang w:val="uk-UA" w:eastAsia="uk-UA"/>
        </w:rPr>
        <w:t xml:space="preserve">Прибуток або збитки від </w:t>
      </w:r>
      <w:r w:rsidRPr="005901D3">
        <w:rPr>
          <w:b/>
          <w:lang w:val="uk-UA" w:eastAsia="uk-UA"/>
        </w:rPr>
        <w:t>вибуття</w:t>
      </w:r>
      <w:r w:rsidRPr="005901D3">
        <w:rPr>
          <w:lang w:val="uk-UA" w:eastAsia="uk-UA"/>
        </w:rPr>
        <w:t xml:space="preserve"> основних засобів визначаються шляхом порівняння суми надходжень із балансовою вартістю та визнаються у прибутку чи збитку за рік (у складі інших о</w:t>
      </w:r>
      <w:r w:rsidR="0057322C" w:rsidRPr="005901D3">
        <w:rPr>
          <w:lang w:val="uk-UA" w:eastAsia="uk-UA"/>
        </w:rPr>
        <w:t>пераційних доходів або витрат).</w:t>
      </w:r>
    </w:p>
    <w:p w:rsidR="00A60936" w:rsidRPr="005901D3" w:rsidRDefault="0057322C" w:rsidP="005901D3">
      <w:pPr>
        <w:jc w:val="both"/>
        <w:rPr>
          <w:lang w:val="uk-UA" w:eastAsia="uk-UA"/>
        </w:rPr>
      </w:pPr>
      <w:r w:rsidRPr="005901D3">
        <w:rPr>
          <w:lang w:val="uk-UA" w:eastAsia="uk-UA"/>
        </w:rPr>
        <w:t xml:space="preserve">Нематеріальних активів на обліку Товариства немає. </w:t>
      </w:r>
      <w:r w:rsidR="00A60936" w:rsidRPr="005901D3">
        <w:rPr>
          <w:lang w:val="uk-UA" w:eastAsia="uk-UA"/>
        </w:rPr>
        <w:t xml:space="preserve">Придбані ліцензії на комп’ютерне програмне забезпечення капіталізуються на основі витрат, понесених на придбання та введення в експлуатацію </w:t>
      </w:r>
      <w:r w:rsidRPr="005901D3">
        <w:rPr>
          <w:lang w:val="uk-UA" w:eastAsia="uk-UA"/>
        </w:rPr>
        <w:t>основного засобу.</w:t>
      </w:r>
    </w:p>
    <w:p w:rsidR="00DA24B8" w:rsidRPr="005901D3" w:rsidRDefault="00DA24B8" w:rsidP="005901D3">
      <w:pPr>
        <w:jc w:val="both"/>
        <w:rPr>
          <w:lang w:val="uk-UA" w:eastAsia="uk-UA"/>
        </w:rPr>
      </w:pPr>
      <w:r w:rsidRPr="005901D3">
        <w:rPr>
          <w:b/>
          <w:bCs/>
          <w:lang w:val="uk-UA" w:eastAsia="uk-UA"/>
        </w:rPr>
        <w:t>Визнання та оцінка фінансових інструментів</w:t>
      </w:r>
      <w:r w:rsidRPr="005901D3">
        <w:rPr>
          <w:lang w:val="uk-UA" w:eastAsia="uk-UA"/>
        </w:rPr>
        <w:t xml:space="preserve">. </w:t>
      </w:r>
      <w:r w:rsidR="00444B9C" w:rsidRPr="005901D3">
        <w:rPr>
          <w:lang w:val="uk-UA" w:eastAsia="uk-UA"/>
        </w:rPr>
        <w:t>Товариство</w:t>
      </w:r>
      <w:r w:rsidRPr="005901D3">
        <w:rPr>
          <w:lang w:val="uk-UA" w:eastAsia="uk-UA"/>
        </w:rPr>
        <w:t xml:space="preserve"> визнає фінансові активи та зобов’язання у своєму балансі тоді, коли вон</w:t>
      </w:r>
      <w:r w:rsidR="00B0359C" w:rsidRPr="005901D3">
        <w:rPr>
          <w:lang w:val="uk-UA" w:eastAsia="uk-UA"/>
        </w:rPr>
        <w:t>о</w:t>
      </w:r>
      <w:r w:rsidRPr="005901D3">
        <w:rPr>
          <w:lang w:val="uk-UA" w:eastAsia="uk-UA"/>
        </w:rPr>
        <w:t xml:space="preserve"> стає стороною контрактних </w:t>
      </w:r>
      <w:r w:rsidR="00444B9C" w:rsidRPr="005901D3">
        <w:rPr>
          <w:lang w:val="uk-UA" w:eastAsia="uk-UA"/>
        </w:rPr>
        <w:t>відношень</w:t>
      </w:r>
      <w:r w:rsidRPr="005901D3">
        <w:rPr>
          <w:lang w:val="uk-UA" w:eastAsia="uk-UA"/>
        </w:rPr>
        <w:t xml:space="preserve"> стосовно даного інструменту. Операції з придбання та реалізації фінансових активів та зобов’язань визнаються з використанням обліку за датою розрахунку. </w:t>
      </w:r>
    </w:p>
    <w:p w:rsidR="00DA24B8" w:rsidRPr="005901D3" w:rsidRDefault="00DA24B8" w:rsidP="005901D3">
      <w:pPr>
        <w:jc w:val="both"/>
        <w:rPr>
          <w:lang w:val="uk-UA" w:eastAsia="uk-UA"/>
        </w:rPr>
      </w:pPr>
      <w:r w:rsidRPr="005901D3">
        <w:rPr>
          <w:lang w:val="uk-UA" w:eastAsia="uk-UA"/>
        </w:rPr>
        <w:t>Фінансові інструменти</w:t>
      </w:r>
      <w:r w:rsidR="00B0359C" w:rsidRPr="005901D3">
        <w:rPr>
          <w:lang w:val="uk-UA" w:eastAsia="uk-UA"/>
        </w:rPr>
        <w:t xml:space="preserve"> </w:t>
      </w:r>
      <w:r w:rsidRPr="005901D3">
        <w:rPr>
          <w:lang w:val="uk-UA" w:eastAsia="uk-UA"/>
        </w:rPr>
        <w:t>визн</w:t>
      </w:r>
      <w:r w:rsidR="00B0359C" w:rsidRPr="005901D3">
        <w:rPr>
          <w:lang w:val="uk-UA" w:eastAsia="uk-UA"/>
        </w:rPr>
        <w:t>аються за справедливою вартістю плюс витрати на операцію, які прямо відносяться до його придбання (випуску)</w:t>
      </w:r>
      <w:r w:rsidRPr="005901D3">
        <w:rPr>
          <w:lang w:val="uk-UA" w:eastAsia="uk-UA"/>
        </w:rPr>
        <w:t>. Найкращим підтвердженням справедливої вартості при початковому визнанні є ціна угоди. Прибуток або збиток при початковому визнанні визнається лише у тому випадку, якщо існує різниця між справедливою вартістю та ціною угоди, підтвердженням якої можуть бути інші поточні угоди з тим самим фінансовим інструментом, що спостерігаються на ринку, або методики оцінки, які у якості базових даних використовують лише дані з відкритих ринків</w:t>
      </w:r>
    </w:p>
    <w:p w:rsidR="00DA24B8" w:rsidRPr="005901D3" w:rsidRDefault="00DA24B8" w:rsidP="005901D3">
      <w:pPr>
        <w:jc w:val="both"/>
        <w:rPr>
          <w:lang w:val="uk-UA" w:eastAsia="uk-UA"/>
        </w:rPr>
      </w:pPr>
      <w:r w:rsidRPr="00A71718">
        <w:rPr>
          <w:b/>
          <w:bCs/>
          <w:lang w:val="uk-UA" w:eastAsia="uk-UA"/>
        </w:rPr>
        <w:t xml:space="preserve">Витрати на проведення операції – </w:t>
      </w:r>
      <w:r w:rsidRPr="00A71718">
        <w:rPr>
          <w:lang w:val="uk-UA" w:eastAsia="uk-UA"/>
        </w:rPr>
        <w:t>це притаманні витрати, що безпосередньо пов’язані із придбанням, випуском або вибуттям фінансового інструмента. Притаманні витрати – це витрати, що не були б понесені, якби операція не здійснювалась. Витрати на проведення операції включають виплати та комісійні, сплачені агентам (у тому числі працівникам, які виступають у якості торгових агентів), консультантам, брокерам та дилерам; збори, які</w:t>
      </w:r>
      <w:r w:rsidRPr="00346464">
        <w:rPr>
          <w:lang w:val="uk-UA" w:eastAsia="uk-UA"/>
        </w:rPr>
        <w:t xml:space="preserve"> сплачуються регулюючим органам та фондовим біржам, а також податки та збори, що стягуються при перереєстрації права власності. Витрати на проведення операції не</w:t>
      </w:r>
      <w:r w:rsidRPr="005901D3">
        <w:rPr>
          <w:lang w:val="uk-UA" w:eastAsia="uk-UA"/>
        </w:rPr>
        <w:t xml:space="preserve"> включають премій або дисконтів за борговими зобов’язаннями, витрат на фінансування, внутрішніх адміністративних витрат чи витрат на зберігання.</w:t>
      </w:r>
    </w:p>
    <w:p w:rsidR="00DA24B8" w:rsidRPr="005901D3" w:rsidRDefault="00DA24B8" w:rsidP="005901D3">
      <w:pPr>
        <w:jc w:val="both"/>
        <w:rPr>
          <w:lang w:val="uk-UA" w:eastAsia="uk-UA"/>
        </w:rPr>
      </w:pPr>
      <w:r w:rsidRPr="005901D3">
        <w:rPr>
          <w:b/>
          <w:lang w:val="uk-UA" w:eastAsia="uk-UA"/>
        </w:rPr>
        <w:t>Фінансові активи.</w:t>
      </w:r>
      <w:r w:rsidRPr="005901D3">
        <w:rPr>
          <w:lang w:val="uk-UA" w:eastAsia="uk-UA"/>
        </w:rPr>
        <w:t xml:space="preserve"> Фінансові активи класифікуються на такі категорії:</w:t>
      </w:r>
    </w:p>
    <w:p w:rsidR="00DA24B8" w:rsidRPr="005901D3" w:rsidRDefault="00DA24B8" w:rsidP="005901D3">
      <w:pPr>
        <w:jc w:val="both"/>
        <w:rPr>
          <w:lang w:val="uk-UA" w:eastAsia="uk-UA"/>
        </w:rPr>
      </w:pPr>
    </w:p>
    <w:p w:rsidR="00DA24B8" w:rsidRPr="005901D3" w:rsidRDefault="00444B9C" w:rsidP="005901D3">
      <w:pPr>
        <w:numPr>
          <w:ilvl w:val="0"/>
          <w:numId w:val="15"/>
        </w:numPr>
        <w:ind w:left="714" w:hanging="357"/>
        <w:jc w:val="both"/>
        <w:rPr>
          <w:bCs/>
          <w:lang w:val="uk-UA" w:eastAsia="uk-UA"/>
        </w:rPr>
      </w:pPr>
      <w:r w:rsidRPr="005901D3">
        <w:rPr>
          <w:lang w:val="uk-UA" w:eastAsia="uk-UA"/>
        </w:rPr>
        <w:t>ф</w:t>
      </w:r>
      <w:r w:rsidR="00DA24B8" w:rsidRPr="005901D3">
        <w:rPr>
          <w:lang w:val="uk-UA" w:eastAsia="uk-UA"/>
        </w:rPr>
        <w:t>інансові активи, що обліковуються за справедливою вартістю</w:t>
      </w:r>
      <w:r w:rsidR="00DA24B8" w:rsidRPr="005901D3">
        <w:rPr>
          <w:bCs/>
          <w:lang w:val="uk-UA" w:eastAsia="uk-UA"/>
        </w:rPr>
        <w:t xml:space="preserve"> зміни якої відносяться на фінансовий результат,</w:t>
      </w:r>
    </w:p>
    <w:p w:rsidR="00DA24B8" w:rsidRPr="005901D3" w:rsidRDefault="00444B9C" w:rsidP="005901D3">
      <w:pPr>
        <w:numPr>
          <w:ilvl w:val="0"/>
          <w:numId w:val="14"/>
        </w:numPr>
        <w:ind w:left="714" w:hanging="357"/>
        <w:jc w:val="both"/>
        <w:rPr>
          <w:lang w:val="uk-UA" w:eastAsia="uk-UA"/>
        </w:rPr>
      </w:pPr>
      <w:r w:rsidRPr="005901D3">
        <w:rPr>
          <w:lang w:val="uk-UA" w:eastAsia="uk-UA"/>
        </w:rPr>
        <w:t>ф</w:t>
      </w:r>
      <w:r w:rsidR="00DA24B8" w:rsidRPr="005901D3">
        <w:rPr>
          <w:lang w:val="uk-UA" w:eastAsia="uk-UA"/>
        </w:rPr>
        <w:t>інансові активи в наявності для продажу,</w:t>
      </w:r>
    </w:p>
    <w:p w:rsidR="00DA24B8" w:rsidRPr="005901D3" w:rsidRDefault="00444B9C" w:rsidP="005901D3">
      <w:pPr>
        <w:numPr>
          <w:ilvl w:val="0"/>
          <w:numId w:val="14"/>
        </w:numPr>
        <w:ind w:left="714" w:hanging="357"/>
        <w:jc w:val="both"/>
        <w:rPr>
          <w:lang w:val="uk-UA" w:eastAsia="uk-UA"/>
        </w:rPr>
      </w:pPr>
      <w:r w:rsidRPr="005901D3">
        <w:rPr>
          <w:lang w:val="uk-UA" w:eastAsia="uk-UA"/>
        </w:rPr>
        <w:t>д</w:t>
      </w:r>
      <w:r w:rsidR="00DA24B8" w:rsidRPr="005901D3">
        <w:rPr>
          <w:lang w:val="uk-UA" w:eastAsia="uk-UA"/>
        </w:rPr>
        <w:t>ебіторська заборгованість,</w:t>
      </w:r>
    </w:p>
    <w:p w:rsidR="00DA24B8" w:rsidRPr="005901D3" w:rsidRDefault="00444B9C" w:rsidP="005901D3">
      <w:pPr>
        <w:numPr>
          <w:ilvl w:val="0"/>
          <w:numId w:val="14"/>
        </w:numPr>
        <w:ind w:left="714" w:hanging="357"/>
        <w:jc w:val="both"/>
        <w:rPr>
          <w:lang w:val="uk-UA" w:eastAsia="uk-UA"/>
        </w:rPr>
      </w:pPr>
      <w:r w:rsidRPr="005901D3">
        <w:rPr>
          <w:lang w:val="uk-UA" w:eastAsia="uk-UA"/>
        </w:rPr>
        <w:t>ф</w:t>
      </w:r>
      <w:r w:rsidR="00DA24B8" w:rsidRPr="005901D3">
        <w:rPr>
          <w:lang w:val="uk-UA" w:eastAsia="uk-UA"/>
        </w:rPr>
        <w:t>інансові активи, що утримуються до погашення</w:t>
      </w:r>
      <w:r w:rsidR="0087246B">
        <w:rPr>
          <w:lang w:val="uk-UA" w:eastAsia="uk-UA"/>
        </w:rPr>
        <w:t>.</w:t>
      </w:r>
    </w:p>
    <w:p w:rsidR="00F03184" w:rsidRPr="005901D3" w:rsidRDefault="00F03184" w:rsidP="005901D3">
      <w:pPr>
        <w:ind w:left="714"/>
        <w:jc w:val="both"/>
        <w:rPr>
          <w:lang w:val="uk-UA" w:eastAsia="uk-UA"/>
        </w:rPr>
      </w:pPr>
    </w:p>
    <w:p w:rsidR="00DA24B8" w:rsidRPr="005901D3" w:rsidRDefault="00B0359C" w:rsidP="005901D3">
      <w:pPr>
        <w:jc w:val="both"/>
        <w:rPr>
          <w:b/>
          <w:bCs/>
          <w:lang w:val="uk-UA" w:eastAsia="uk-UA"/>
        </w:rPr>
      </w:pPr>
      <w:r w:rsidRPr="005901D3">
        <w:rPr>
          <w:b/>
          <w:bCs/>
          <w:lang w:val="uk-UA" w:eastAsia="uk-UA"/>
        </w:rPr>
        <w:t xml:space="preserve">Подальша оцінка фінансових активів. </w:t>
      </w:r>
      <w:r w:rsidRPr="005901D3">
        <w:rPr>
          <w:bCs/>
          <w:lang w:val="uk-UA" w:eastAsia="uk-UA"/>
        </w:rPr>
        <w:t>Після первісного визнання</w:t>
      </w:r>
      <w:r w:rsidR="00DA24B8" w:rsidRPr="005901D3">
        <w:rPr>
          <w:bCs/>
          <w:lang w:val="uk-UA" w:eastAsia="uk-UA"/>
        </w:rPr>
        <w:t xml:space="preserve"> </w:t>
      </w:r>
      <w:r w:rsidR="00DA24B8" w:rsidRPr="005901D3">
        <w:rPr>
          <w:lang w:val="uk-UA" w:eastAsia="uk-UA"/>
        </w:rPr>
        <w:t>фінансові акти</w:t>
      </w:r>
      <w:r w:rsidRPr="005901D3">
        <w:rPr>
          <w:lang w:val="uk-UA" w:eastAsia="uk-UA"/>
        </w:rPr>
        <w:t>ви оцін</w:t>
      </w:r>
      <w:r w:rsidR="009351B1" w:rsidRPr="005901D3">
        <w:rPr>
          <w:lang w:val="uk-UA" w:eastAsia="uk-UA"/>
        </w:rPr>
        <w:t xml:space="preserve">юються за справедливою вартістю, за винятком випадків обліку фінансових активів, які не мають ринкової ціни котирування на активному ринку і справедливу вартість яких не можна достовірно оцінити. Такі активи оцінюються за собівартістю з оцінкою можливого зменшення їх корисності. </w:t>
      </w:r>
    </w:p>
    <w:p w:rsidR="00DA24B8" w:rsidRPr="005901D3" w:rsidRDefault="00DA24B8" w:rsidP="005901D3">
      <w:pPr>
        <w:jc w:val="both"/>
        <w:rPr>
          <w:b/>
          <w:bCs/>
          <w:lang w:val="uk-UA" w:eastAsia="uk-UA"/>
        </w:rPr>
      </w:pPr>
      <w:r w:rsidRPr="005901D3">
        <w:rPr>
          <w:b/>
          <w:bCs/>
          <w:lang w:val="uk-UA" w:eastAsia="uk-UA"/>
        </w:rPr>
        <w:t xml:space="preserve">Справедлива вартість </w:t>
      </w:r>
      <w:r w:rsidR="00444B9C" w:rsidRPr="005901D3">
        <w:rPr>
          <w:lang w:val="uk-UA" w:eastAsia="uk-UA"/>
        </w:rPr>
        <w:t>– це</w:t>
      </w:r>
      <w:r w:rsidRPr="005901D3">
        <w:rPr>
          <w:lang w:val="uk-UA" w:eastAsia="uk-UA"/>
        </w:rPr>
        <w:t xml:space="preserve"> ціна, яка була б отримана за продаж актив</w:t>
      </w:r>
      <w:r w:rsidR="00444B9C" w:rsidRPr="005901D3">
        <w:rPr>
          <w:lang w:val="uk-UA" w:eastAsia="uk-UA"/>
        </w:rPr>
        <w:t>у</w:t>
      </w:r>
      <w:r w:rsidRPr="005901D3">
        <w:rPr>
          <w:lang w:val="uk-UA" w:eastAsia="uk-UA"/>
        </w:rPr>
        <w:t xml:space="preserve">, або сплачена за передачу зобов'язання у звичайній операції між учасниками ринку на дату оцінки. Справедлива вартість являє собою поточну ціну пропозиції для фінансових активів та ціну попиту для фінансових зобов’язань, що котируються на активному ринку. </w:t>
      </w:r>
    </w:p>
    <w:p w:rsidR="00DA24B8" w:rsidRPr="005901D3" w:rsidRDefault="009351B1" w:rsidP="005901D3">
      <w:pPr>
        <w:jc w:val="both"/>
        <w:rPr>
          <w:lang w:val="uk-UA"/>
        </w:rPr>
      </w:pPr>
      <w:r w:rsidRPr="005901D3">
        <w:rPr>
          <w:b/>
          <w:lang w:val="uk-UA"/>
        </w:rPr>
        <w:t>Д</w:t>
      </w:r>
      <w:r w:rsidR="00DA24B8" w:rsidRPr="005901D3">
        <w:rPr>
          <w:b/>
          <w:lang w:val="uk-UA"/>
        </w:rPr>
        <w:t>ебіторська заборгованість</w:t>
      </w:r>
      <w:r w:rsidR="00DA24B8" w:rsidRPr="005901D3">
        <w:rPr>
          <w:lang w:val="uk-UA"/>
        </w:rPr>
        <w:t xml:space="preserve"> –</w:t>
      </w:r>
      <w:r w:rsidR="00F03184" w:rsidRPr="005901D3">
        <w:rPr>
          <w:lang w:val="uk-UA"/>
        </w:rPr>
        <w:t xml:space="preserve"> </w:t>
      </w:r>
      <w:r w:rsidRPr="005901D3">
        <w:rPr>
          <w:lang w:val="uk-UA"/>
        </w:rPr>
        <w:t>є непохідним</w:t>
      </w:r>
      <w:r w:rsidR="00DA24B8" w:rsidRPr="005901D3">
        <w:rPr>
          <w:lang w:val="uk-UA"/>
        </w:rPr>
        <w:t xml:space="preserve"> фінансовим інструмент</w:t>
      </w:r>
      <w:r w:rsidRPr="005901D3">
        <w:rPr>
          <w:lang w:val="uk-UA"/>
        </w:rPr>
        <w:t>ом</w:t>
      </w:r>
      <w:r w:rsidR="00DA24B8" w:rsidRPr="005901D3">
        <w:rPr>
          <w:lang w:val="uk-UA"/>
        </w:rPr>
        <w:t>, що ма</w:t>
      </w:r>
      <w:r w:rsidRPr="005901D3">
        <w:rPr>
          <w:lang w:val="uk-UA"/>
        </w:rPr>
        <w:t>є</w:t>
      </w:r>
      <w:r w:rsidR="00DA24B8" w:rsidRPr="005901D3">
        <w:rPr>
          <w:lang w:val="uk-UA"/>
        </w:rPr>
        <w:t xml:space="preserve"> фіксований термін погашення і не ма</w:t>
      </w:r>
      <w:r w:rsidRPr="005901D3">
        <w:rPr>
          <w:lang w:val="uk-UA"/>
        </w:rPr>
        <w:t>є</w:t>
      </w:r>
      <w:r w:rsidR="00DA24B8" w:rsidRPr="005901D3">
        <w:rPr>
          <w:lang w:val="uk-UA"/>
        </w:rPr>
        <w:t xml:space="preserve"> котирувань на активному ринку. Ц</w:t>
      </w:r>
      <w:r w:rsidRPr="005901D3">
        <w:rPr>
          <w:lang w:val="uk-UA"/>
        </w:rPr>
        <w:t>ей</w:t>
      </w:r>
      <w:r w:rsidR="00DA24B8" w:rsidRPr="005901D3">
        <w:rPr>
          <w:lang w:val="uk-UA"/>
        </w:rPr>
        <w:t xml:space="preserve"> фінансов</w:t>
      </w:r>
      <w:r w:rsidRPr="005901D3">
        <w:rPr>
          <w:lang w:val="uk-UA"/>
        </w:rPr>
        <w:t>ий актив</w:t>
      </w:r>
      <w:r w:rsidR="00DA24B8" w:rsidRPr="005901D3">
        <w:rPr>
          <w:lang w:val="uk-UA"/>
        </w:rPr>
        <w:t xml:space="preserve"> первісно </w:t>
      </w:r>
      <w:r w:rsidR="00DA24B8" w:rsidRPr="005901D3">
        <w:rPr>
          <w:lang w:val="uk-UA"/>
        </w:rPr>
        <w:lastRenderedPageBreak/>
        <w:t>визна</w:t>
      </w:r>
      <w:r w:rsidRPr="005901D3">
        <w:rPr>
          <w:lang w:val="uk-UA"/>
        </w:rPr>
        <w:t>є</w:t>
      </w:r>
      <w:r w:rsidR="00DA24B8" w:rsidRPr="005901D3">
        <w:rPr>
          <w:lang w:val="uk-UA"/>
        </w:rPr>
        <w:t>ться за вартістю, яка є спр</w:t>
      </w:r>
      <w:r w:rsidRPr="005901D3">
        <w:rPr>
          <w:lang w:val="uk-UA"/>
        </w:rPr>
        <w:t>аведливою вартістю компенсації</w:t>
      </w:r>
      <w:r w:rsidR="002C6F2A" w:rsidRPr="005901D3">
        <w:rPr>
          <w:lang w:val="uk-UA"/>
        </w:rPr>
        <w:t xml:space="preserve">, а в подальшому оцінюються за </w:t>
      </w:r>
      <w:r w:rsidR="00DA24B8" w:rsidRPr="005901D3">
        <w:rPr>
          <w:lang w:val="uk-UA"/>
        </w:rPr>
        <w:t>собівартістю за вирахуванням будь-яког</w:t>
      </w:r>
      <w:r w:rsidR="00F03184" w:rsidRPr="005901D3">
        <w:rPr>
          <w:lang w:val="uk-UA"/>
        </w:rPr>
        <w:t>о збитку від знецінення.</w:t>
      </w:r>
    </w:p>
    <w:p w:rsidR="002C6F2A" w:rsidRPr="005901D3" w:rsidRDefault="00F03184" w:rsidP="005901D3">
      <w:pPr>
        <w:jc w:val="both"/>
        <w:rPr>
          <w:lang w:val="uk-UA" w:eastAsia="uk-UA"/>
        </w:rPr>
      </w:pPr>
      <w:r w:rsidRPr="005901D3">
        <w:rPr>
          <w:b/>
          <w:lang w:val="uk-UA" w:eastAsia="uk-UA"/>
        </w:rPr>
        <w:t>Знецінення фінансових активі</w:t>
      </w:r>
      <w:r w:rsidR="0002580B" w:rsidRPr="005901D3">
        <w:rPr>
          <w:b/>
          <w:lang w:val="uk-UA" w:eastAsia="uk-UA"/>
        </w:rPr>
        <w:t>в</w:t>
      </w:r>
      <w:r w:rsidR="00DA24B8" w:rsidRPr="005901D3">
        <w:rPr>
          <w:lang w:val="uk-UA" w:eastAsia="uk-UA"/>
        </w:rPr>
        <w:t xml:space="preserve">. Збитки від знецінення визнаються у прибутку чи збитку за рік по мірі їх виникнення у результаті однієї або декількох подій («збиткових подій»), що відбулись після початкового визнання фінансового активу і чинять вплив на суму або строки оціночних грошових потоків, які пов’язані з фінансовим активом або групою фінансових активів, якщо ці збитки можна достовірно оцінити. Якщо  </w:t>
      </w:r>
      <w:r w:rsidR="00444B9C" w:rsidRPr="005901D3">
        <w:rPr>
          <w:lang w:val="uk-UA" w:eastAsia="uk-UA"/>
        </w:rPr>
        <w:t>Товариство</w:t>
      </w:r>
      <w:r w:rsidR="00DA24B8" w:rsidRPr="005901D3">
        <w:rPr>
          <w:lang w:val="uk-UA" w:eastAsia="uk-UA"/>
        </w:rPr>
        <w:t xml:space="preserve"> визначає відсутність об’єктивних ознак знецінення для окремо оціненого фінансового активу (незалежно від його суттєвості), він відносить цей актив до групи фінансових активів, що мають схожі характеристики кредитного ризику, та здійснює їх колективну оцінку на предмет знецінення. Основними факторами, які враховує  </w:t>
      </w:r>
      <w:r w:rsidR="00444B9C" w:rsidRPr="005901D3">
        <w:rPr>
          <w:lang w:val="uk-UA" w:eastAsia="uk-UA"/>
        </w:rPr>
        <w:t>Товариство</w:t>
      </w:r>
      <w:r w:rsidR="00DA24B8" w:rsidRPr="005901D3">
        <w:rPr>
          <w:lang w:val="uk-UA" w:eastAsia="uk-UA"/>
        </w:rPr>
        <w:t xml:space="preserve"> при визначенні знецінення фінансового акт</w:t>
      </w:r>
      <w:r w:rsidRPr="005901D3">
        <w:rPr>
          <w:lang w:val="uk-UA" w:eastAsia="uk-UA"/>
        </w:rPr>
        <w:t xml:space="preserve">иву, є його прострочений статус, </w:t>
      </w:r>
      <w:r w:rsidR="00DA24B8" w:rsidRPr="005901D3">
        <w:rPr>
          <w:lang w:val="uk-UA" w:eastAsia="uk-UA"/>
        </w:rPr>
        <w:t xml:space="preserve">порушення умов договору, які пов’язані з неможливістю сплати </w:t>
      </w:r>
      <w:r w:rsidRPr="005901D3">
        <w:rPr>
          <w:lang w:val="uk-UA" w:eastAsia="uk-UA"/>
        </w:rPr>
        <w:t xml:space="preserve">за актив, </w:t>
      </w:r>
      <w:r w:rsidR="00DA24B8" w:rsidRPr="005901D3">
        <w:rPr>
          <w:lang w:val="uk-UA" w:eastAsia="uk-UA"/>
        </w:rPr>
        <w:t>ймовірність банк</w:t>
      </w:r>
      <w:r w:rsidR="002C6F2A" w:rsidRPr="005901D3">
        <w:rPr>
          <w:lang w:val="uk-UA" w:eastAsia="uk-UA"/>
        </w:rPr>
        <w:t xml:space="preserve">рутства позичальника/емітента, </w:t>
      </w:r>
      <w:r w:rsidR="00DA24B8" w:rsidRPr="005901D3">
        <w:rPr>
          <w:lang w:val="uk-UA" w:eastAsia="uk-UA"/>
        </w:rPr>
        <w:t>суттєві зміни, які чинять негативний вплив на інвестиції в інструменти капіталу, пов’язані з технологічним, ринковим, економічним або юридичним середовищем, де емітент здійснює свою діяльність, та такі зміни свідчать про те, що інве</w:t>
      </w:r>
      <w:r w:rsidR="002C6F2A" w:rsidRPr="005901D3">
        <w:rPr>
          <w:lang w:val="uk-UA" w:eastAsia="uk-UA"/>
        </w:rPr>
        <w:t xml:space="preserve">стиції можуть не повернутися. </w:t>
      </w:r>
    </w:p>
    <w:p w:rsidR="00DA24B8" w:rsidRPr="005901D3" w:rsidRDefault="00DA24B8" w:rsidP="005901D3">
      <w:pPr>
        <w:jc w:val="both"/>
        <w:rPr>
          <w:lang w:val="uk-UA" w:eastAsia="uk-UA"/>
        </w:rPr>
      </w:pPr>
      <w:r w:rsidRPr="005901D3">
        <w:rPr>
          <w:lang w:val="uk-UA" w:eastAsia="uk-UA"/>
        </w:rPr>
        <w:t>Збитки від знецінення завжди визнаються шляхом створення резерву у сумі, необхідній для зменшення балансової вартості активу до поточної вартості очікуваних грошових потоків</w:t>
      </w:r>
      <w:r w:rsidR="002C6F2A" w:rsidRPr="005901D3">
        <w:rPr>
          <w:lang w:val="uk-UA" w:eastAsia="uk-UA"/>
        </w:rPr>
        <w:t xml:space="preserve">. </w:t>
      </w:r>
      <w:r w:rsidRPr="005901D3">
        <w:rPr>
          <w:lang w:val="uk-UA" w:eastAsia="uk-UA"/>
        </w:rPr>
        <w:t xml:space="preserve">Якщо у наступному періоді сума збитку від знецінення активу зменшується і це зменшення може бути об’єктивно віднесене до події, яка відбулась після визнання збитку від знецінення (наприклад, через підвищення кредитного рейтингу дебітора), то визнаний раніше збиток від знецінення </w:t>
      </w:r>
      <w:r w:rsidR="0002580B" w:rsidRPr="005901D3">
        <w:rPr>
          <w:lang w:val="uk-UA" w:eastAsia="uk-UA"/>
        </w:rPr>
        <w:t>зменшується</w:t>
      </w:r>
      <w:r w:rsidRPr="005901D3">
        <w:rPr>
          <w:lang w:val="uk-UA" w:eastAsia="uk-UA"/>
        </w:rPr>
        <w:t xml:space="preserve"> шляхом коригування </w:t>
      </w:r>
      <w:r w:rsidR="0002580B" w:rsidRPr="005901D3">
        <w:rPr>
          <w:lang w:val="uk-UA" w:eastAsia="uk-UA"/>
        </w:rPr>
        <w:t>роз</w:t>
      </w:r>
      <w:r w:rsidRPr="005901D3">
        <w:rPr>
          <w:lang w:val="uk-UA" w:eastAsia="uk-UA"/>
        </w:rPr>
        <w:t>рахунку резерву. Сума зменшення відображаєт</w:t>
      </w:r>
      <w:r w:rsidR="002C6F2A" w:rsidRPr="005901D3">
        <w:rPr>
          <w:lang w:val="uk-UA" w:eastAsia="uk-UA"/>
        </w:rPr>
        <w:t xml:space="preserve">ься у прибутку чи збитку за рік. </w:t>
      </w:r>
      <w:r w:rsidRPr="005901D3">
        <w:rPr>
          <w:lang w:val="uk-UA" w:eastAsia="uk-UA"/>
        </w:rPr>
        <w:t>Активи, погашення яких неможливе, списуються за рахунок відповідного резерву збитків від знецінення після завершення всіх необхідних процедур для відшкодування активу та після визначення остаточної суми збитку. Повернення раніше списаних сум кредитується на рахунок відповідного резерву збитків від знеціне</w:t>
      </w:r>
      <w:r w:rsidR="002C6F2A" w:rsidRPr="005901D3">
        <w:rPr>
          <w:lang w:val="uk-UA" w:eastAsia="uk-UA"/>
        </w:rPr>
        <w:t>ння у прибутку чи збитку за рік</w:t>
      </w:r>
    </w:p>
    <w:p w:rsidR="00DA24B8" w:rsidRPr="005901D3" w:rsidRDefault="00DA24B8" w:rsidP="005901D3">
      <w:pPr>
        <w:jc w:val="both"/>
        <w:rPr>
          <w:lang w:val="uk-UA" w:eastAsia="uk-UA"/>
        </w:rPr>
      </w:pPr>
      <w:r w:rsidRPr="005901D3">
        <w:rPr>
          <w:b/>
          <w:bCs/>
          <w:lang w:val="uk-UA" w:eastAsia="uk-UA"/>
        </w:rPr>
        <w:t>Грошові кошти та їх еквіваленти.</w:t>
      </w:r>
      <w:r w:rsidRPr="005901D3">
        <w:rPr>
          <w:lang w:val="uk-UA" w:eastAsia="uk-UA"/>
        </w:rPr>
        <w:t xml:space="preserve"> Грошові кошти та їх еквіваленти являють собою активи, які можна конвертувати у відому суму готівки за першою вимогою і яким притаманний незначний ризик зміни вартості. Грошові кошти та їх еквіваленти включають залишки на рахунках в банках, які не є обмеженими для використання та всі розміщення коштів на депозитних рахунків банків з первісним строком погашення не більше трьох місяців. Кошти, щодо яких існують обмеження стосовно їх використання протягом періоду, який перевищує три місяці, з моменту надання, виключаються з грошових коштів та їх еквівалентів. Грошові кошти та їх еквіваленти обліковуються за </w:t>
      </w:r>
      <w:r w:rsidR="0002580B" w:rsidRPr="005901D3">
        <w:rPr>
          <w:lang w:val="uk-UA" w:eastAsia="uk-UA"/>
        </w:rPr>
        <w:t>собі</w:t>
      </w:r>
      <w:r w:rsidRPr="005901D3">
        <w:rPr>
          <w:lang w:val="uk-UA" w:eastAsia="uk-UA"/>
        </w:rPr>
        <w:t>вартістю</w:t>
      </w:r>
    </w:p>
    <w:p w:rsidR="00DA24B8" w:rsidRPr="005901D3" w:rsidRDefault="00DA24B8" w:rsidP="005901D3">
      <w:pPr>
        <w:jc w:val="both"/>
        <w:rPr>
          <w:lang w:val="uk-UA" w:eastAsia="uk-UA"/>
        </w:rPr>
      </w:pPr>
      <w:r w:rsidRPr="005901D3">
        <w:rPr>
          <w:b/>
          <w:bCs/>
          <w:lang w:val="uk-UA" w:eastAsia="uk-UA"/>
        </w:rPr>
        <w:t xml:space="preserve">Податки на прибуток. </w:t>
      </w:r>
      <w:r w:rsidRPr="005901D3">
        <w:rPr>
          <w:lang w:val="uk-UA" w:eastAsia="uk-UA"/>
        </w:rPr>
        <w:t>У цій фінансовій звітності оподаткування показано відповідно до вимог законодавства України із використанням податкових ставок та законодавчих норм, які діяли або фактично були введені в дію станом на звітну дату. Витрати/(доходи) з податку на прибуток включають поточні податки та відображаються у прибутку чи збитку за рік, якщо тільки вони не мають бути відображені у складі іншого сукупного доходу або безпосередньо у складі капіталу</w:t>
      </w:r>
      <w:r w:rsidR="005901D3" w:rsidRPr="005901D3">
        <w:rPr>
          <w:lang w:val="uk-UA" w:eastAsia="uk-UA"/>
        </w:rPr>
        <w:t>.</w:t>
      </w:r>
    </w:p>
    <w:p w:rsidR="00DA24B8" w:rsidRPr="005901D3" w:rsidRDefault="005901D3" w:rsidP="005901D3">
      <w:pPr>
        <w:jc w:val="both"/>
        <w:rPr>
          <w:lang w:val="uk-UA" w:eastAsia="uk-UA"/>
        </w:rPr>
      </w:pPr>
      <w:r>
        <w:rPr>
          <w:b/>
          <w:bCs/>
          <w:lang w:val="uk-UA" w:eastAsia="uk-UA"/>
        </w:rPr>
        <w:t>К</w:t>
      </w:r>
      <w:r w:rsidR="00DA24B8" w:rsidRPr="005901D3">
        <w:rPr>
          <w:b/>
          <w:bCs/>
          <w:lang w:val="uk-UA" w:eastAsia="uk-UA"/>
        </w:rPr>
        <w:t>редиторська заборгованість</w:t>
      </w:r>
      <w:r w:rsidR="00DA24B8" w:rsidRPr="005901D3">
        <w:rPr>
          <w:lang w:val="uk-UA" w:eastAsia="uk-UA"/>
        </w:rPr>
        <w:t xml:space="preserve">. </w:t>
      </w:r>
      <w:r>
        <w:rPr>
          <w:lang w:val="uk-UA" w:eastAsia="uk-UA"/>
        </w:rPr>
        <w:t>К</w:t>
      </w:r>
      <w:r w:rsidR="00DA24B8" w:rsidRPr="005901D3">
        <w:rPr>
          <w:lang w:val="uk-UA" w:eastAsia="uk-UA"/>
        </w:rPr>
        <w:t xml:space="preserve">редиторська заборгованість визнається, якщо контрагент виконав свої зобов’язання за угодою і обліковується за </w:t>
      </w:r>
      <w:r w:rsidRPr="005901D3">
        <w:rPr>
          <w:lang w:val="uk-UA" w:eastAsia="uk-UA"/>
        </w:rPr>
        <w:t>вартістю погашення</w:t>
      </w:r>
      <w:r w:rsidR="00DA24B8" w:rsidRPr="005901D3">
        <w:rPr>
          <w:lang w:val="uk-UA" w:eastAsia="uk-UA"/>
        </w:rPr>
        <w:t>.</w:t>
      </w:r>
    </w:p>
    <w:p w:rsidR="00DA24B8" w:rsidRPr="005901D3" w:rsidRDefault="00DA24B8" w:rsidP="005901D3">
      <w:pPr>
        <w:jc w:val="both"/>
        <w:rPr>
          <w:lang w:val="uk-UA" w:eastAsia="uk-UA"/>
        </w:rPr>
      </w:pPr>
      <w:r w:rsidRPr="005901D3">
        <w:rPr>
          <w:b/>
          <w:bCs/>
          <w:lang w:val="uk-UA" w:eastAsia="uk-UA"/>
        </w:rPr>
        <w:t>Витрати на персонал та відповідні відрахування.</w:t>
      </w:r>
      <w:r w:rsidRPr="005901D3">
        <w:rPr>
          <w:lang w:val="uk-UA" w:eastAsia="uk-UA"/>
        </w:rPr>
        <w:t xml:space="preserve"> Витрати на заробітну плату, внески до державного пенсійного фонду України і фондів соціального страхування, оплачувані річні відпустки та лікарняні, премії, а також не</w:t>
      </w:r>
      <w:r w:rsidR="0028116D">
        <w:rPr>
          <w:lang w:val="uk-UA" w:eastAsia="uk-UA"/>
        </w:rPr>
        <w:t xml:space="preserve"> </w:t>
      </w:r>
      <w:r w:rsidRPr="005901D3">
        <w:rPr>
          <w:lang w:val="uk-UA" w:eastAsia="uk-UA"/>
        </w:rPr>
        <w:t xml:space="preserve">грошові винагороди нараховуються у тому році, в якому відповідні послуги надавались працівниками  компанії.  </w:t>
      </w:r>
      <w:r w:rsidR="00444B9C" w:rsidRPr="005901D3">
        <w:rPr>
          <w:lang w:val="uk-UA" w:eastAsia="uk-UA"/>
        </w:rPr>
        <w:t>Товариство</w:t>
      </w:r>
      <w:r w:rsidRPr="005901D3">
        <w:rPr>
          <w:lang w:val="uk-UA" w:eastAsia="uk-UA"/>
        </w:rPr>
        <w:t xml:space="preserve"> не має юридичного чи умовного зобов’язання сплачувати пенсійні чи інші платежі, окрім платежів по державній системі соціального  страхування.</w:t>
      </w:r>
      <w:bookmarkStart w:id="1" w:name="RANGE!A1"/>
      <w:bookmarkEnd w:id="1"/>
    </w:p>
    <w:p w:rsidR="005901D3" w:rsidRPr="00EE1018" w:rsidRDefault="005901D3" w:rsidP="00EE5857">
      <w:pPr>
        <w:tabs>
          <w:tab w:val="left" w:pos="0"/>
        </w:tabs>
        <w:jc w:val="both"/>
        <w:rPr>
          <w:rFonts w:eastAsia="Calibri"/>
          <w:lang w:val="uk-UA" w:eastAsia="en-US"/>
        </w:rPr>
      </w:pPr>
      <w:r w:rsidRPr="00EE1018">
        <w:rPr>
          <w:rFonts w:eastAsia="Calibri"/>
          <w:b/>
          <w:lang w:val="uk-UA" w:eastAsia="en-US"/>
        </w:rPr>
        <w:t>Дата затвердження фінансової звітності до випуску</w:t>
      </w:r>
      <w:r w:rsidRPr="00EE1018">
        <w:rPr>
          <w:rFonts w:eastAsia="Calibri"/>
          <w:lang w:val="uk-UA" w:eastAsia="en-US"/>
        </w:rPr>
        <w:t xml:space="preserve"> </w:t>
      </w:r>
      <w:r w:rsidRPr="00F23515">
        <w:rPr>
          <w:rFonts w:eastAsia="Calibri"/>
          <w:lang w:val="uk-UA" w:eastAsia="en-US"/>
        </w:rPr>
        <w:t>2</w:t>
      </w:r>
      <w:r w:rsidR="00EE1018" w:rsidRPr="00F23515">
        <w:rPr>
          <w:rFonts w:eastAsia="Calibri"/>
          <w:lang w:val="uk-UA" w:eastAsia="en-US"/>
        </w:rPr>
        <w:t>5.0</w:t>
      </w:r>
      <w:r w:rsidR="00346464" w:rsidRPr="00F23515">
        <w:rPr>
          <w:rFonts w:eastAsia="Calibri"/>
          <w:lang w:val="uk-UA" w:eastAsia="en-US"/>
        </w:rPr>
        <w:t>2</w:t>
      </w:r>
      <w:r w:rsidRPr="00F23515">
        <w:rPr>
          <w:rFonts w:eastAsia="Calibri"/>
          <w:lang w:val="uk-UA" w:eastAsia="en-US"/>
        </w:rPr>
        <w:t xml:space="preserve">.2017 року. Звітність затверджена керівником Товариства </w:t>
      </w:r>
      <w:r w:rsidR="00EE1018" w:rsidRPr="00F23515">
        <w:rPr>
          <w:rFonts w:eastAsia="Calibri"/>
          <w:lang w:val="uk-UA" w:eastAsia="en-US"/>
        </w:rPr>
        <w:t xml:space="preserve">та бухгалтером </w:t>
      </w:r>
      <w:r w:rsidRPr="00F23515">
        <w:rPr>
          <w:rFonts w:eastAsia="Calibri"/>
          <w:lang w:val="uk-UA" w:eastAsia="en-US"/>
        </w:rPr>
        <w:t xml:space="preserve">відповідно до наказу </w:t>
      </w:r>
      <w:r w:rsidR="00346464" w:rsidRPr="00F23515">
        <w:rPr>
          <w:rFonts w:eastAsia="Calibri"/>
          <w:lang w:val="uk-UA" w:eastAsia="en-US"/>
        </w:rPr>
        <w:t>№</w:t>
      </w:r>
      <w:r w:rsidR="00F23515" w:rsidRPr="00F23515">
        <w:rPr>
          <w:rFonts w:eastAsia="Calibri"/>
          <w:lang w:val="uk-UA" w:eastAsia="en-US"/>
        </w:rPr>
        <w:t>4-п</w:t>
      </w:r>
      <w:r w:rsidR="00346464" w:rsidRPr="00F23515">
        <w:rPr>
          <w:rFonts w:eastAsia="Calibri"/>
          <w:lang w:val="uk-UA" w:eastAsia="en-US"/>
        </w:rPr>
        <w:t xml:space="preserve">  </w:t>
      </w:r>
      <w:r w:rsidRPr="00F23515">
        <w:rPr>
          <w:rFonts w:eastAsia="Calibri"/>
          <w:lang w:val="uk-UA" w:eastAsia="en-US"/>
        </w:rPr>
        <w:t>від 2</w:t>
      </w:r>
      <w:r w:rsidR="00EE1018" w:rsidRPr="00F23515">
        <w:rPr>
          <w:rFonts w:eastAsia="Calibri"/>
          <w:lang w:val="uk-UA" w:eastAsia="en-US"/>
        </w:rPr>
        <w:t>5</w:t>
      </w:r>
      <w:r w:rsidRPr="00F23515">
        <w:rPr>
          <w:rFonts w:eastAsia="Calibri"/>
          <w:lang w:val="uk-UA" w:eastAsia="en-US"/>
        </w:rPr>
        <w:t>.0</w:t>
      </w:r>
      <w:r w:rsidR="00346464" w:rsidRPr="00F23515">
        <w:rPr>
          <w:rFonts w:eastAsia="Calibri"/>
          <w:lang w:val="uk-UA" w:eastAsia="en-US"/>
        </w:rPr>
        <w:t>2</w:t>
      </w:r>
      <w:r w:rsidRPr="00F23515">
        <w:rPr>
          <w:rFonts w:eastAsia="Calibri"/>
          <w:lang w:val="uk-UA" w:eastAsia="en-US"/>
        </w:rPr>
        <w:t>.2017 року.</w:t>
      </w:r>
      <w:r w:rsidRPr="00EE1018">
        <w:rPr>
          <w:rFonts w:eastAsia="Calibri"/>
          <w:lang w:val="uk-UA" w:eastAsia="en-US"/>
        </w:rPr>
        <w:t xml:space="preserve"> </w:t>
      </w:r>
    </w:p>
    <w:p w:rsidR="00500BA2" w:rsidRPr="00444B9C" w:rsidRDefault="00500BA2" w:rsidP="00EE5857">
      <w:pPr>
        <w:tabs>
          <w:tab w:val="left" w:pos="0"/>
        </w:tabs>
        <w:jc w:val="both"/>
        <w:rPr>
          <w:lang w:val="uk-UA"/>
        </w:rPr>
      </w:pPr>
      <w:r w:rsidRPr="005901D3">
        <w:rPr>
          <w:b/>
          <w:lang w:val="uk-UA"/>
        </w:rPr>
        <w:t>Валюта звітності</w:t>
      </w:r>
      <w:r w:rsidRPr="00444B9C">
        <w:rPr>
          <w:lang w:val="uk-UA"/>
        </w:rPr>
        <w:t xml:space="preserve"> – українська гривня</w:t>
      </w:r>
      <w:r w:rsidR="001811C9" w:rsidRPr="00444B9C">
        <w:rPr>
          <w:lang w:val="uk-UA"/>
        </w:rPr>
        <w:t xml:space="preserve"> (грн.),</w:t>
      </w:r>
      <w:r w:rsidRPr="00444B9C">
        <w:rPr>
          <w:lang w:val="uk-UA"/>
        </w:rPr>
        <w:t xml:space="preserve"> </w:t>
      </w:r>
      <w:r w:rsidR="001811C9" w:rsidRPr="00444B9C">
        <w:rPr>
          <w:lang w:val="uk-UA"/>
        </w:rPr>
        <w:t>з округленням до гривні.</w:t>
      </w:r>
    </w:p>
    <w:p w:rsidR="00EE5857" w:rsidRPr="00444B9C" w:rsidRDefault="00EE5857" w:rsidP="00D92B18">
      <w:pPr>
        <w:pStyle w:val="HTML"/>
        <w:jc w:val="both"/>
        <w:rPr>
          <w:rFonts w:ascii="Times New Roman" w:hAnsi="Times New Roman" w:cs="Times New Roman"/>
          <w:color w:val="auto"/>
          <w:sz w:val="24"/>
          <w:szCs w:val="24"/>
          <w:lang w:val="ru-RU"/>
        </w:rPr>
      </w:pPr>
      <w:r w:rsidRPr="00444B9C">
        <w:rPr>
          <w:rFonts w:ascii="Times New Roman" w:hAnsi="Times New Roman" w:cs="Times New Roman"/>
          <w:sz w:val="24"/>
          <w:szCs w:val="24"/>
        </w:rPr>
        <w:t xml:space="preserve">Фактична наявність активів Товариства підтверджується щорічною </w:t>
      </w:r>
      <w:r w:rsidRPr="00EE1018">
        <w:rPr>
          <w:rFonts w:ascii="Times New Roman" w:hAnsi="Times New Roman" w:cs="Times New Roman"/>
          <w:b/>
          <w:sz w:val="24"/>
          <w:szCs w:val="24"/>
        </w:rPr>
        <w:t>інвентаризацією</w:t>
      </w:r>
      <w:r w:rsidR="00EE1018">
        <w:rPr>
          <w:rFonts w:ascii="Times New Roman" w:hAnsi="Times New Roman" w:cs="Times New Roman"/>
          <w:sz w:val="24"/>
          <w:szCs w:val="24"/>
        </w:rPr>
        <w:t xml:space="preserve"> активів та зобов’язань</w:t>
      </w:r>
      <w:r w:rsidRPr="00444B9C">
        <w:rPr>
          <w:rFonts w:ascii="Times New Roman" w:hAnsi="Times New Roman" w:cs="Times New Roman"/>
          <w:sz w:val="24"/>
          <w:szCs w:val="24"/>
        </w:rPr>
        <w:t xml:space="preserve">. </w:t>
      </w:r>
      <w:r w:rsidRPr="00EE1018">
        <w:rPr>
          <w:rFonts w:ascii="Times New Roman" w:hAnsi="Times New Roman" w:cs="Times New Roman"/>
          <w:sz w:val="24"/>
          <w:szCs w:val="24"/>
        </w:rPr>
        <w:t xml:space="preserve">В 2016 році інвентаризація активів та зобов’язань Товариства проведена на підставі </w:t>
      </w:r>
      <w:r w:rsidRPr="00F23515">
        <w:rPr>
          <w:rFonts w:ascii="Times New Roman" w:hAnsi="Times New Roman" w:cs="Times New Roman"/>
          <w:sz w:val="24"/>
          <w:szCs w:val="24"/>
        </w:rPr>
        <w:t>наказу</w:t>
      </w:r>
      <w:r w:rsidR="00346464" w:rsidRPr="00F23515">
        <w:rPr>
          <w:rFonts w:ascii="Times New Roman" w:hAnsi="Times New Roman" w:cs="Times New Roman"/>
          <w:sz w:val="24"/>
          <w:szCs w:val="24"/>
        </w:rPr>
        <w:t xml:space="preserve"> №</w:t>
      </w:r>
      <w:r w:rsidR="00F23515" w:rsidRPr="00F23515">
        <w:rPr>
          <w:rFonts w:ascii="Times New Roman" w:hAnsi="Times New Roman" w:cs="Times New Roman"/>
          <w:sz w:val="24"/>
          <w:szCs w:val="24"/>
        </w:rPr>
        <w:t>7-п</w:t>
      </w:r>
      <w:r w:rsidR="00346464" w:rsidRPr="00F23515">
        <w:rPr>
          <w:rFonts w:ascii="Times New Roman" w:hAnsi="Times New Roman" w:cs="Times New Roman"/>
          <w:sz w:val="24"/>
          <w:szCs w:val="24"/>
        </w:rPr>
        <w:t xml:space="preserve"> </w:t>
      </w:r>
      <w:r w:rsidR="00EE1018" w:rsidRPr="00F23515">
        <w:rPr>
          <w:rFonts w:ascii="Times New Roman" w:hAnsi="Times New Roman" w:cs="Times New Roman"/>
          <w:color w:val="auto"/>
          <w:sz w:val="24"/>
          <w:szCs w:val="24"/>
        </w:rPr>
        <w:t>від</w:t>
      </w:r>
      <w:r w:rsidRPr="00F23515">
        <w:rPr>
          <w:rFonts w:ascii="Times New Roman" w:hAnsi="Times New Roman" w:cs="Times New Roman"/>
          <w:color w:val="auto"/>
          <w:sz w:val="24"/>
          <w:szCs w:val="24"/>
          <w:lang w:val="ru-RU"/>
        </w:rPr>
        <w:t xml:space="preserve"> 17.11.2016.</w:t>
      </w:r>
    </w:p>
    <w:p w:rsidR="00EE1018" w:rsidRDefault="00EE1018" w:rsidP="00D92B18">
      <w:pPr>
        <w:pStyle w:val="HTML"/>
        <w:jc w:val="both"/>
        <w:rPr>
          <w:rFonts w:ascii="Times New Roman" w:hAnsi="Times New Roman" w:cs="Times New Roman"/>
          <w:sz w:val="24"/>
          <w:szCs w:val="24"/>
        </w:rPr>
      </w:pPr>
    </w:p>
    <w:p w:rsidR="0094054A" w:rsidRPr="00EE1018" w:rsidRDefault="00EE1018" w:rsidP="00D92B18">
      <w:pPr>
        <w:pStyle w:val="HTML"/>
        <w:jc w:val="both"/>
        <w:rPr>
          <w:rFonts w:ascii="Times New Roman" w:hAnsi="Times New Roman" w:cs="Times New Roman"/>
          <w:color w:val="auto"/>
          <w:sz w:val="24"/>
          <w:szCs w:val="24"/>
          <w:lang w:val="ru-RU"/>
        </w:rPr>
      </w:pPr>
      <w:r w:rsidRPr="00EE1018">
        <w:rPr>
          <w:rFonts w:ascii="Times New Roman" w:hAnsi="Times New Roman" w:cs="Times New Roman"/>
          <w:sz w:val="24"/>
          <w:szCs w:val="24"/>
        </w:rPr>
        <w:lastRenderedPageBreak/>
        <w:t xml:space="preserve">В 2016 році Товариством прийняте рішення </w:t>
      </w:r>
      <w:r w:rsidRPr="00EE1018">
        <w:rPr>
          <w:rFonts w:ascii="Times New Roman" w:hAnsi="Times New Roman" w:cs="Times New Roman"/>
          <w:b/>
          <w:sz w:val="24"/>
          <w:szCs w:val="24"/>
        </w:rPr>
        <w:t>не застосовувати</w:t>
      </w:r>
      <w:r w:rsidRPr="00EE1018">
        <w:rPr>
          <w:rFonts w:ascii="Times New Roman" w:hAnsi="Times New Roman" w:cs="Times New Roman"/>
          <w:sz w:val="24"/>
          <w:szCs w:val="24"/>
        </w:rPr>
        <w:t xml:space="preserve"> при підготовці звітності коригувань, встановлених МСБО 29 «Фінансова звітність в умовах гіперінфляції».</w:t>
      </w:r>
    </w:p>
    <w:p w:rsidR="00EE1018" w:rsidRDefault="00EE1018" w:rsidP="002D1D78">
      <w:pPr>
        <w:tabs>
          <w:tab w:val="left" w:pos="0"/>
        </w:tabs>
        <w:jc w:val="both"/>
        <w:rPr>
          <w:b/>
          <w:color w:val="000000"/>
          <w:u w:val="single"/>
          <w:lang w:val="uk-UA"/>
        </w:rPr>
      </w:pPr>
    </w:p>
    <w:p w:rsidR="002D1D78" w:rsidRPr="002D1D78" w:rsidRDefault="002D1D78" w:rsidP="002D1D78">
      <w:pPr>
        <w:tabs>
          <w:tab w:val="left" w:pos="0"/>
        </w:tabs>
        <w:jc w:val="both"/>
        <w:rPr>
          <w:b/>
          <w:color w:val="000000"/>
          <w:u w:val="single"/>
          <w:lang w:val="uk-UA"/>
        </w:rPr>
      </w:pPr>
      <w:r w:rsidRPr="002D1D78">
        <w:rPr>
          <w:b/>
          <w:color w:val="000000"/>
          <w:u w:val="single"/>
          <w:lang w:val="uk-UA"/>
        </w:rPr>
        <w:t>Щодо подій після дати затвердження звітності</w:t>
      </w:r>
    </w:p>
    <w:p w:rsidR="002D1D78" w:rsidRDefault="002D1D78" w:rsidP="002D1D78">
      <w:pPr>
        <w:tabs>
          <w:tab w:val="left" w:pos="0"/>
        </w:tabs>
        <w:jc w:val="both"/>
        <w:rPr>
          <w:color w:val="000000"/>
          <w:lang w:val="uk-UA"/>
        </w:rPr>
      </w:pPr>
      <w:r w:rsidRPr="00444B9C">
        <w:rPr>
          <w:color w:val="000000"/>
          <w:lang w:val="uk-UA"/>
        </w:rPr>
        <w:t xml:space="preserve">Проведені аудиторські процедури, а саме обговорення з керівництвом, отримання необхідних тверджень стосовно подій після випуску фінансової звітності до закінчення аудиторської перевірки, а також вибіркова перевірка господарських операцій, укладених договорів, руху коштів у 2017 році, та інші процедури, проведені аудиторами, надають можливість говорити про відсутність у зазначений період, а саме з дати затвердження звітності до випуску </w:t>
      </w:r>
      <w:r w:rsidRPr="00F23515">
        <w:rPr>
          <w:color w:val="000000"/>
          <w:lang w:val="uk-UA"/>
        </w:rPr>
        <w:t>2</w:t>
      </w:r>
      <w:r w:rsidR="00EE1018" w:rsidRPr="00F23515">
        <w:rPr>
          <w:color w:val="000000"/>
          <w:lang w:val="uk-UA"/>
        </w:rPr>
        <w:t>5</w:t>
      </w:r>
      <w:r w:rsidRPr="00F23515">
        <w:rPr>
          <w:color w:val="000000"/>
          <w:lang w:val="uk-UA"/>
        </w:rPr>
        <w:t xml:space="preserve"> </w:t>
      </w:r>
      <w:r w:rsidR="00346464" w:rsidRPr="00F23515">
        <w:rPr>
          <w:color w:val="000000"/>
          <w:lang w:val="uk-UA"/>
        </w:rPr>
        <w:t>лютого</w:t>
      </w:r>
      <w:r w:rsidRPr="00F23515">
        <w:rPr>
          <w:color w:val="000000"/>
          <w:lang w:val="uk-UA"/>
        </w:rPr>
        <w:t xml:space="preserve"> 2017 року до дати надання аудиторського висновку </w:t>
      </w:r>
      <w:r w:rsidR="00346464" w:rsidRPr="00F23515">
        <w:rPr>
          <w:color w:val="000000"/>
          <w:lang w:val="uk-UA"/>
        </w:rPr>
        <w:t>25</w:t>
      </w:r>
      <w:r w:rsidRPr="00F23515">
        <w:rPr>
          <w:color w:val="000000"/>
          <w:lang w:val="uk-UA"/>
        </w:rPr>
        <w:t xml:space="preserve"> </w:t>
      </w:r>
      <w:r w:rsidR="00346464" w:rsidRPr="00F23515">
        <w:rPr>
          <w:color w:val="000000"/>
          <w:lang w:val="uk-UA"/>
        </w:rPr>
        <w:t>квітня</w:t>
      </w:r>
      <w:r w:rsidRPr="00F23515">
        <w:rPr>
          <w:color w:val="000000"/>
          <w:lang w:val="uk-UA"/>
        </w:rPr>
        <w:t xml:space="preserve"> 2017 року подій, які мали б вплив на цю звітність</w:t>
      </w:r>
      <w:r w:rsidR="00F23515">
        <w:rPr>
          <w:color w:val="000000"/>
          <w:lang w:val="uk-UA"/>
        </w:rPr>
        <w:t>.</w:t>
      </w:r>
      <w:r w:rsidRPr="00444B9C">
        <w:rPr>
          <w:color w:val="000000"/>
          <w:lang w:val="uk-UA"/>
        </w:rPr>
        <w:t xml:space="preserve"> </w:t>
      </w:r>
    </w:p>
    <w:p w:rsidR="002D1D78" w:rsidRDefault="002D1D78" w:rsidP="002D1D78">
      <w:pPr>
        <w:tabs>
          <w:tab w:val="left" w:pos="0"/>
        </w:tabs>
        <w:jc w:val="both"/>
        <w:rPr>
          <w:color w:val="000000"/>
          <w:lang w:val="uk-UA"/>
        </w:rPr>
      </w:pPr>
    </w:p>
    <w:p w:rsidR="00D75CB5" w:rsidRPr="00444B9C" w:rsidRDefault="00D75CB5" w:rsidP="002D1D78">
      <w:pPr>
        <w:tabs>
          <w:tab w:val="left" w:pos="0"/>
        </w:tabs>
        <w:jc w:val="both"/>
        <w:rPr>
          <w:b/>
          <w:u w:val="single"/>
          <w:lang w:val="uk-UA"/>
        </w:rPr>
      </w:pPr>
      <w:r w:rsidRPr="00444B9C">
        <w:rPr>
          <w:b/>
          <w:u w:val="single"/>
          <w:lang w:val="uk-UA"/>
        </w:rPr>
        <w:t xml:space="preserve">Щодо можливості (спроможності) </w:t>
      </w:r>
      <w:r w:rsidR="003C1C27" w:rsidRPr="00444B9C">
        <w:rPr>
          <w:b/>
          <w:u w:val="single"/>
          <w:lang w:val="uk-UA"/>
        </w:rPr>
        <w:t>Товариства</w:t>
      </w:r>
      <w:r w:rsidRPr="00444B9C">
        <w:rPr>
          <w:b/>
          <w:u w:val="single"/>
          <w:lang w:val="uk-UA"/>
        </w:rPr>
        <w:t xml:space="preserve"> безперервно здійснювати свою діяльність протягом найближчих 12 місяців</w:t>
      </w:r>
    </w:p>
    <w:p w:rsidR="00D75CB5" w:rsidRPr="00444B9C" w:rsidRDefault="00D75CB5" w:rsidP="00DA67E2">
      <w:pPr>
        <w:tabs>
          <w:tab w:val="left" w:pos="0"/>
        </w:tabs>
        <w:jc w:val="both"/>
        <w:rPr>
          <w:lang w:val="uk-UA"/>
        </w:rPr>
      </w:pPr>
      <w:r w:rsidRPr="00444B9C">
        <w:rPr>
          <w:lang w:val="uk-UA"/>
        </w:rPr>
        <w:t>Припущення про безперервність діяльності розглядається аудитор</w:t>
      </w:r>
      <w:r w:rsidR="004D1BF9" w:rsidRPr="00444B9C">
        <w:rPr>
          <w:lang w:val="uk-UA"/>
        </w:rPr>
        <w:t>ами</w:t>
      </w:r>
      <w:r w:rsidRPr="00444B9C">
        <w:rPr>
          <w:lang w:val="uk-UA"/>
        </w:rPr>
        <w:t xml:space="preserve"> у відповідності до МСА 570 «Безперервність» як таке, що Товариство  продовжуватиме свою діяльність у </w:t>
      </w:r>
      <w:r w:rsidR="003B0B14" w:rsidRPr="00444B9C">
        <w:rPr>
          <w:lang w:val="uk-UA"/>
        </w:rPr>
        <w:t>найближчому</w:t>
      </w:r>
      <w:r w:rsidRPr="00444B9C">
        <w:rPr>
          <w:lang w:val="uk-UA"/>
        </w:rPr>
        <w:t xml:space="preserve"> майбутньому, не маючи ні наміру, ні потреби ліквідуватися або припиняти її. Фінансова звітність Товариства підготовлена виходячи з припу</w:t>
      </w:r>
      <w:r w:rsidR="004D1BF9" w:rsidRPr="00444B9C">
        <w:rPr>
          <w:lang w:val="uk-UA"/>
        </w:rPr>
        <w:t>щення безперервності діяльності.</w:t>
      </w:r>
    </w:p>
    <w:p w:rsidR="00D75CB5" w:rsidRPr="00444B9C" w:rsidRDefault="004754D7" w:rsidP="00DA67E2">
      <w:pPr>
        <w:pStyle w:val="ab"/>
        <w:tabs>
          <w:tab w:val="left" w:pos="0"/>
        </w:tabs>
        <w:spacing w:after="0"/>
        <w:jc w:val="both"/>
        <w:rPr>
          <w:lang w:val="uk-UA"/>
        </w:rPr>
      </w:pPr>
      <w:r w:rsidRPr="00444B9C">
        <w:rPr>
          <w:lang w:val="uk-UA"/>
        </w:rPr>
        <w:t xml:space="preserve">Товариство не здійснює активної діяльності на ринку фінансових послуг, проте </w:t>
      </w:r>
      <w:r w:rsidR="00D75CB5" w:rsidRPr="00444B9C">
        <w:rPr>
          <w:lang w:val="uk-UA"/>
        </w:rPr>
        <w:t>плану</w:t>
      </w:r>
      <w:r w:rsidRPr="00444B9C">
        <w:rPr>
          <w:lang w:val="uk-UA"/>
        </w:rPr>
        <w:t>ється</w:t>
      </w:r>
      <w:r w:rsidR="00D75CB5" w:rsidRPr="00444B9C">
        <w:rPr>
          <w:lang w:val="uk-UA"/>
        </w:rPr>
        <w:t xml:space="preserve"> вживання заходів для </w:t>
      </w:r>
      <w:r w:rsidRPr="00444B9C">
        <w:rPr>
          <w:lang w:val="uk-UA"/>
        </w:rPr>
        <w:t>проведення змін у цьому напрямку</w:t>
      </w:r>
      <w:r w:rsidR="00D75CB5" w:rsidRPr="00444B9C">
        <w:rPr>
          <w:lang w:val="uk-UA"/>
        </w:rPr>
        <w:t xml:space="preserve">. </w:t>
      </w:r>
      <w:r w:rsidRPr="00444B9C">
        <w:rPr>
          <w:lang w:val="uk-UA"/>
        </w:rPr>
        <w:t xml:space="preserve">Товариство фінансує свою діяльність за рахунок власних коштів. </w:t>
      </w:r>
    </w:p>
    <w:p w:rsidR="00D75CB5" w:rsidRPr="00444B9C" w:rsidRDefault="00D75CB5" w:rsidP="007F0DA7">
      <w:pPr>
        <w:pStyle w:val="20"/>
        <w:tabs>
          <w:tab w:val="left" w:pos="0"/>
        </w:tabs>
        <w:spacing w:before="0" w:line="240" w:lineRule="auto"/>
        <w:ind w:firstLine="0"/>
        <w:rPr>
          <w:szCs w:val="24"/>
        </w:rPr>
      </w:pPr>
      <w:r w:rsidRPr="00444B9C">
        <w:rPr>
          <w:szCs w:val="24"/>
        </w:rPr>
        <w:t xml:space="preserve">Зібрані </w:t>
      </w:r>
      <w:r w:rsidR="00297D4F" w:rsidRPr="00444B9C">
        <w:rPr>
          <w:szCs w:val="24"/>
        </w:rPr>
        <w:t xml:space="preserve">аудиторські </w:t>
      </w:r>
      <w:r w:rsidRPr="00444B9C">
        <w:rPr>
          <w:szCs w:val="24"/>
        </w:rPr>
        <w:t>докази</w:t>
      </w:r>
      <w:r w:rsidR="00297D4F" w:rsidRPr="00444B9C">
        <w:rPr>
          <w:szCs w:val="24"/>
        </w:rPr>
        <w:t>, твердження керівництва</w:t>
      </w:r>
      <w:r w:rsidRPr="00444B9C">
        <w:rPr>
          <w:szCs w:val="24"/>
        </w:rPr>
        <w:t xml:space="preserve"> та аналіз діяльності не д</w:t>
      </w:r>
      <w:r w:rsidR="00297D4F" w:rsidRPr="00444B9C">
        <w:rPr>
          <w:szCs w:val="24"/>
        </w:rPr>
        <w:t>ають аудиторам підстав</w:t>
      </w:r>
      <w:r w:rsidRPr="00444B9C">
        <w:rPr>
          <w:szCs w:val="24"/>
        </w:rPr>
        <w:t xml:space="preserve"> </w:t>
      </w:r>
      <w:r w:rsidR="004D1BF9" w:rsidRPr="00444B9C">
        <w:rPr>
          <w:szCs w:val="24"/>
        </w:rPr>
        <w:t>для сумнівів</w:t>
      </w:r>
      <w:r w:rsidRPr="00444B9C">
        <w:rPr>
          <w:szCs w:val="24"/>
        </w:rPr>
        <w:t xml:space="preserve"> в здатності Товариства безперервно продовжувати свою діяльність.</w:t>
      </w:r>
    </w:p>
    <w:p w:rsidR="00D75CB5" w:rsidRPr="00444B9C" w:rsidRDefault="00D75CB5" w:rsidP="00DA67E2">
      <w:pPr>
        <w:shd w:val="clear" w:color="auto" w:fill="FFFFFF"/>
        <w:tabs>
          <w:tab w:val="left" w:pos="0"/>
        </w:tabs>
        <w:jc w:val="both"/>
        <w:rPr>
          <w:lang w:val="uk-UA"/>
        </w:rPr>
      </w:pPr>
      <w:r w:rsidRPr="00444B9C">
        <w:rPr>
          <w:lang w:val="uk-UA"/>
        </w:rPr>
        <w:t xml:space="preserve">Використовуючи </w:t>
      </w:r>
      <w:r w:rsidR="005A4C3A" w:rsidRPr="00444B9C">
        <w:rPr>
          <w:lang w:val="uk-UA"/>
        </w:rPr>
        <w:t xml:space="preserve">аналітичні процедури, твердження керівництва </w:t>
      </w:r>
      <w:r w:rsidRPr="00444B9C">
        <w:rPr>
          <w:lang w:val="uk-UA"/>
        </w:rPr>
        <w:t xml:space="preserve">та згідно </w:t>
      </w:r>
      <w:r w:rsidR="005A4C3A" w:rsidRPr="00444B9C">
        <w:rPr>
          <w:lang w:val="uk-UA"/>
        </w:rPr>
        <w:t xml:space="preserve">проведеного </w:t>
      </w:r>
      <w:r w:rsidRPr="00444B9C">
        <w:rPr>
          <w:lang w:val="uk-UA"/>
        </w:rPr>
        <w:t>аналі</w:t>
      </w:r>
      <w:r w:rsidR="005A4C3A" w:rsidRPr="00444B9C">
        <w:rPr>
          <w:lang w:val="uk-UA"/>
        </w:rPr>
        <w:t xml:space="preserve">зу фінансового стану Товариства, наведеного в кінці цього розділу, </w:t>
      </w:r>
      <w:r w:rsidRPr="00444B9C">
        <w:rPr>
          <w:lang w:val="uk-UA"/>
        </w:rPr>
        <w:t xml:space="preserve">ми не знайшли доказів про порушення принципів функціонування </w:t>
      </w:r>
      <w:r w:rsidR="005A4C3A" w:rsidRPr="00444B9C">
        <w:rPr>
          <w:lang w:val="uk-UA"/>
        </w:rPr>
        <w:t>Товариства протягом найближчих дванадцяти місяців</w:t>
      </w:r>
      <w:r w:rsidRPr="00444B9C">
        <w:rPr>
          <w:lang w:val="uk-UA"/>
        </w:rPr>
        <w:t xml:space="preserve">. </w:t>
      </w:r>
    </w:p>
    <w:p w:rsidR="006E1986" w:rsidRPr="00444B9C" w:rsidRDefault="006E1986" w:rsidP="003B0B14">
      <w:pPr>
        <w:shd w:val="clear" w:color="auto" w:fill="FFFFFF"/>
        <w:tabs>
          <w:tab w:val="left" w:pos="0"/>
        </w:tabs>
        <w:jc w:val="center"/>
        <w:rPr>
          <w:b/>
          <w:color w:val="000000"/>
          <w:lang w:val="uk-UA"/>
        </w:rPr>
      </w:pPr>
    </w:p>
    <w:p w:rsidR="003B0B14" w:rsidRPr="00444B9C" w:rsidRDefault="003B0B14" w:rsidP="003B0B14">
      <w:pPr>
        <w:shd w:val="clear" w:color="auto" w:fill="FFFFFF"/>
        <w:tabs>
          <w:tab w:val="left" w:pos="0"/>
        </w:tabs>
        <w:jc w:val="center"/>
        <w:rPr>
          <w:b/>
          <w:color w:val="000000"/>
          <w:lang w:val="uk-UA"/>
        </w:rPr>
      </w:pPr>
      <w:r w:rsidRPr="00444B9C">
        <w:rPr>
          <w:b/>
          <w:color w:val="000000"/>
          <w:lang w:val="uk-UA"/>
        </w:rPr>
        <w:t>Аналіз показників фінансового стану</w:t>
      </w:r>
    </w:p>
    <w:p w:rsidR="003B0B14" w:rsidRPr="00444B9C" w:rsidRDefault="003B0B14" w:rsidP="003B0B14">
      <w:pPr>
        <w:rPr>
          <w:lang w:val="uk-UA"/>
        </w:rPr>
      </w:pPr>
    </w:p>
    <w:tbl>
      <w:tblPr>
        <w:tblW w:w="9639" w:type="dxa"/>
        <w:tblInd w:w="30" w:type="dxa"/>
        <w:tblLayout w:type="fixed"/>
        <w:tblCellMar>
          <w:left w:w="30" w:type="dxa"/>
          <w:right w:w="30" w:type="dxa"/>
        </w:tblCellMar>
        <w:tblLook w:val="0000" w:firstRow="0" w:lastRow="0" w:firstColumn="0" w:lastColumn="0" w:noHBand="0" w:noVBand="0"/>
      </w:tblPr>
      <w:tblGrid>
        <w:gridCol w:w="2694"/>
        <w:gridCol w:w="3685"/>
        <w:gridCol w:w="1276"/>
        <w:gridCol w:w="1984"/>
      </w:tblGrid>
      <w:tr w:rsidR="003B0B14" w:rsidRPr="00444B9C" w:rsidTr="000D105F">
        <w:trPr>
          <w:trHeight w:val="250"/>
        </w:trPr>
        <w:tc>
          <w:tcPr>
            <w:tcW w:w="9639" w:type="dxa"/>
            <w:gridSpan w:val="4"/>
            <w:tcBorders>
              <w:top w:val="single" w:sz="12" w:space="0" w:color="auto"/>
              <w:left w:val="single" w:sz="12" w:space="0" w:color="auto"/>
              <w:bottom w:val="single" w:sz="6" w:space="0" w:color="auto"/>
              <w:right w:val="single" w:sz="6" w:space="0" w:color="auto"/>
            </w:tcBorders>
            <w:vAlign w:val="center"/>
          </w:tcPr>
          <w:p w:rsidR="003B0B14" w:rsidRPr="00444B9C" w:rsidRDefault="003B0B14" w:rsidP="0078602D">
            <w:pPr>
              <w:tabs>
                <w:tab w:val="left" w:pos="0"/>
              </w:tabs>
              <w:snapToGrid w:val="0"/>
              <w:jc w:val="center"/>
              <w:rPr>
                <w:b/>
                <w:color w:val="000000"/>
                <w:lang w:val="uk-UA"/>
              </w:rPr>
            </w:pPr>
            <w:r w:rsidRPr="00444B9C">
              <w:rPr>
                <w:b/>
                <w:color w:val="000000"/>
                <w:lang w:val="uk-UA"/>
              </w:rPr>
              <w:t>Ліквідність</w:t>
            </w:r>
          </w:p>
        </w:tc>
      </w:tr>
      <w:tr w:rsidR="003B0B14" w:rsidRPr="00444B9C" w:rsidTr="000D105F">
        <w:trPr>
          <w:trHeight w:val="250"/>
        </w:trPr>
        <w:tc>
          <w:tcPr>
            <w:tcW w:w="2694" w:type="dxa"/>
            <w:tcBorders>
              <w:top w:val="single" w:sz="12" w:space="0" w:color="auto"/>
              <w:left w:val="single" w:sz="12" w:space="0" w:color="auto"/>
              <w:bottom w:val="single" w:sz="6" w:space="0" w:color="auto"/>
              <w:right w:val="single" w:sz="2" w:space="0" w:color="000000"/>
            </w:tcBorders>
            <w:vAlign w:val="center"/>
          </w:tcPr>
          <w:p w:rsidR="003B0B14" w:rsidRPr="00444B9C" w:rsidRDefault="003B0B14" w:rsidP="0078602D">
            <w:pPr>
              <w:tabs>
                <w:tab w:val="left" w:pos="0"/>
              </w:tabs>
              <w:snapToGrid w:val="0"/>
              <w:jc w:val="center"/>
              <w:rPr>
                <w:color w:val="000000"/>
                <w:lang w:val="uk-UA"/>
              </w:rPr>
            </w:pPr>
            <w:r w:rsidRPr="00444B9C">
              <w:rPr>
                <w:color w:val="000000"/>
                <w:lang w:val="uk-UA"/>
              </w:rPr>
              <w:t>Показник</w:t>
            </w:r>
          </w:p>
        </w:tc>
        <w:tc>
          <w:tcPr>
            <w:tcW w:w="3685" w:type="dxa"/>
            <w:tcBorders>
              <w:top w:val="single" w:sz="12" w:space="0" w:color="auto"/>
              <w:left w:val="single" w:sz="2" w:space="0" w:color="000000"/>
              <w:bottom w:val="single" w:sz="6" w:space="0" w:color="auto"/>
              <w:right w:val="single" w:sz="2" w:space="0" w:color="000000"/>
            </w:tcBorders>
            <w:vAlign w:val="center"/>
          </w:tcPr>
          <w:p w:rsidR="003B0B14" w:rsidRPr="00444B9C" w:rsidRDefault="003B0B14" w:rsidP="0078602D">
            <w:pPr>
              <w:tabs>
                <w:tab w:val="left" w:pos="0"/>
              </w:tabs>
              <w:snapToGrid w:val="0"/>
              <w:jc w:val="center"/>
              <w:rPr>
                <w:b/>
                <w:color w:val="000000"/>
                <w:lang w:val="uk-UA"/>
              </w:rPr>
            </w:pPr>
            <w:r w:rsidRPr="00444B9C">
              <w:rPr>
                <w:b/>
                <w:color w:val="000000"/>
                <w:lang w:val="uk-UA"/>
              </w:rPr>
              <w:t>Розрахунок</w:t>
            </w:r>
          </w:p>
        </w:tc>
        <w:tc>
          <w:tcPr>
            <w:tcW w:w="1276" w:type="dxa"/>
            <w:tcBorders>
              <w:top w:val="single" w:sz="12" w:space="0" w:color="auto"/>
              <w:left w:val="single" w:sz="2" w:space="0" w:color="000000"/>
              <w:bottom w:val="single" w:sz="6" w:space="0" w:color="auto"/>
              <w:right w:val="single" w:sz="6" w:space="0" w:color="auto"/>
            </w:tcBorders>
            <w:vAlign w:val="center"/>
          </w:tcPr>
          <w:p w:rsidR="003B0B14" w:rsidRPr="00444B9C" w:rsidRDefault="003B0B14" w:rsidP="0078602D">
            <w:pPr>
              <w:tabs>
                <w:tab w:val="left" w:pos="0"/>
              </w:tabs>
              <w:snapToGrid w:val="0"/>
              <w:jc w:val="center"/>
              <w:rPr>
                <w:color w:val="000000"/>
                <w:lang w:val="uk-UA"/>
              </w:rPr>
            </w:pPr>
            <w:r w:rsidRPr="00444B9C">
              <w:rPr>
                <w:color w:val="000000"/>
                <w:lang w:val="uk-UA"/>
              </w:rPr>
              <w:t>Норма</w:t>
            </w:r>
          </w:p>
        </w:tc>
        <w:tc>
          <w:tcPr>
            <w:tcW w:w="1984" w:type="dxa"/>
            <w:tcBorders>
              <w:top w:val="single" w:sz="12" w:space="0" w:color="auto"/>
              <w:left w:val="single" w:sz="6" w:space="0" w:color="auto"/>
              <w:bottom w:val="single" w:sz="6" w:space="0" w:color="auto"/>
              <w:right w:val="single" w:sz="6" w:space="0" w:color="auto"/>
            </w:tcBorders>
            <w:vAlign w:val="center"/>
          </w:tcPr>
          <w:p w:rsidR="003B0B14" w:rsidRPr="00444B9C" w:rsidRDefault="003B0B14" w:rsidP="0078602D">
            <w:pPr>
              <w:tabs>
                <w:tab w:val="left" w:pos="0"/>
              </w:tabs>
              <w:snapToGrid w:val="0"/>
              <w:jc w:val="center"/>
              <w:rPr>
                <w:color w:val="000000"/>
                <w:lang w:val="uk-UA"/>
              </w:rPr>
            </w:pPr>
            <w:r w:rsidRPr="00444B9C">
              <w:rPr>
                <w:color w:val="000000"/>
                <w:lang w:val="uk-UA"/>
              </w:rPr>
              <w:t>31.12.2016 рік</w:t>
            </w:r>
          </w:p>
        </w:tc>
      </w:tr>
      <w:tr w:rsidR="003B0B14" w:rsidRPr="00444B9C" w:rsidTr="000D105F">
        <w:trPr>
          <w:trHeight w:val="701"/>
        </w:trPr>
        <w:tc>
          <w:tcPr>
            <w:tcW w:w="2694" w:type="dxa"/>
            <w:tcBorders>
              <w:top w:val="single" w:sz="6" w:space="0" w:color="auto"/>
              <w:left w:val="single" w:sz="12" w:space="0" w:color="auto"/>
              <w:bottom w:val="single" w:sz="6" w:space="0" w:color="auto"/>
              <w:right w:val="single" w:sz="6" w:space="0" w:color="auto"/>
            </w:tcBorders>
          </w:tcPr>
          <w:p w:rsidR="003B0B14" w:rsidRPr="00444B9C" w:rsidRDefault="003B0B14" w:rsidP="0078602D">
            <w:pPr>
              <w:tabs>
                <w:tab w:val="left" w:pos="0"/>
              </w:tabs>
              <w:snapToGrid w:val="0"/>
              <w:jc w:val="center"/>
              <w:rPr>
                <w:color w:val="000000"/>
                <w:lang w:val="uk-UA"/>
              </w:rPr>
            </w:pPr>
            <w:r w:rsidRPr="00444B9C">
              <w:rPr>
                <w:color w:val="000000"/>
                <w:lang w:val="uk-UA"/>
              </w:rPr>
              <w:t>коефіцієнт загальної ліквідності (КЛ1)</w:t>
            </w:r>
          </w:p>
        </w:tc>
        <w:tc>
          <w:tcPr>
            <w:tcW w:w="3685" w:type="dxa"/>
            <w:tcBorders>
              <w:top w:val="single" w:sz="6" w:space="0" w:color="auto"/>
              <w:left w:val="single" w:sz="6" w:space="0" w:color="auto"/>
              <w:bottom w:val="single" w:sz="6" w:space="0" w:color="auto"/>
              <w:right w:val="single" w:sz="6" w:space="0" w:color="auto"/>
            </w:tcBorders>
          </w:tcPr>
          <w:p w:rsidR="003B0B14" w:rsidRPr="00444B9C" w:rsidRDefault="003B0B14" w:rsidP="0078602D">
            <w:pPr>
              <w:tabs>
                <w:tab w:val="left" w:pos="0"/>
              </w:tabs>
              <w:snapToGrid w:val="0"/>
              <w:jc w:val="center"/>
              <w:rPr>
                <w:color w:val="000000"/>
                <w:u w:val="single"/>
                <w:lang w:val="uk-UA"/>
              </w:rPr>
            </w:pPr>
            <w:r w:rsidRPr="00444B9C">
              <w:rPr>
                <w:color w:val="000000"/>
                <w:u w:val="single"/>
                <w:lang w:val="uk-UA"/>
              </w:rPr>
              <w:t xml:space="preserve">підсумок розділу ІІ активу </w:t>
            </w:r>
            <w:r w:rsidRPr="00444B9C">
              <w:rPr>
                <w:color w:val="000000"/>
                <w:lang w:val="uk-UA"/>
              </w:rPr>
              <w:t>підсумок розділу ІII пасиву</w:t>
            </w:r>
          </w:p>
        </w:tc>
        <w:tc>
          <w:tcPr>
            <w:tcW w:w="1276" w:type="dxa"/>
            <w:tcBorders>
              <w:top w:val="single" w:sz="6" w:space="0" w:color="auto"/>
              <w:left w:val="single" w:sz="6" w:space="0" w:color="auto"/>
              <w:bottom w:val="single" w:sz="6" w:space="0" w:color="auto"/>
              <w:right w:val="single" w:sz="6" w:space="0" w:color="auto"/>
            </w:tcBorders>
          </w:tcPr>
          <w:p w:rsidR="003B0B14" w:rsidRPr="00444B9C" w:rsidRDefault="003B0B14" w:rsidP="0078602D">
            <w:pPr>
              <w:tabs>
                <w:tab w:val="left" w:pos="0"/>
              </w:tabs>
              <w:snapToGrid w:val="0"/>
              <w:jc w:val="center"/>
              <w:rPr>
                <w:color w:val="000000"/>
                <w:lang w:val="uk-UA"/>
              </w:rPr>
            </w:pPr>
            <w:r w:rsidRPr="00444B9C">
              <w:rPr>
                <w:color w:val="000000"/>
                <w:lang w:val="uk-UA"/>
              </w:rPr>
              <w:t>2,0 - 2,5</w:t>
            </w:r>
          </w:p>
        </w:tc>
        <w:tc>
          <w:tcPr>
            <w:tcW w:w="1984" w:type="dxa"/>
            <w:tcBorders>
              <w:top w:val="single" w:sz="6" w:space="0" w:color="auto"/>
              <w:left w:val="single" w:sz="6" w:space="0" w:color="auto"/>
              <w:bottom w:val="single" w:sz="6" w:space="0" w:color="auto"/>
              <w:right w:val="single" w:sz="6" w:space="0" w:color="auto"/>
            </w:tcBorders>
          </w:tcPr>
          <w:p w:rsidR="003B0B14" w:rsidRPr="00444B9C" w:rsidRDefault="004C0CD1" w:rsidP="0078602D">
            <w:pPr>
              <w:tabs>
                <w:tab w:val="left" w:pos="0"/>
              </w:tabs>
              <w:jc w:val="center"/>
              <w:rPr>
                <w:lang w:val="uk-UA"/>
              </w:rPr>
            </w:pPr>
            <w:r>
              <w:rPr>
                <w:lang w:val="uk-UA"/>
              </w:rPr>
              <w:t>1,0254</w:t>
            </w:r>
          </w:p>
        </w:tc>
      </w:tr>
      <w:tr w:rsidR="003B0B14" w:rsidRPr="00444B9C" w:rsidTr="000D105F">
        <w:trPr>
          <w:trHeight w:val="936"/>
        </w:trPr>
        <w:tc>
          <w:tcPr>
            <w:tcW w:w="2694" w:type="dxa"/>
            <w:tcBorders>
              <w:top w:val="single" w:sz="6" w:space="0" w:color="auto"/>
              <w:left w:val="single" w:sz="12" w:space="0" w:color="auto"/>
              <w:bottom w:val="single" w:sz="6" w:space="0" w:color="auto"/>
              <w:right w:val="single" w:sz="6" w:space="0" w:color="auto"/>
            </w:tcBorders>
          </w:tcPr>
          <w:p w:rsidR="003B0B14" w:rsidRPr="00444B9C" w:rsidRDefault="003B0B14" w:rsidP="0078602D">
            <w:pPr>
              <w:tabs>
                <w:tab w:val="left" w:pos="0"/>
              </w:tabs>
              <w:snapToGrid w:val="0"/>
              <w:jc w:val="center"/>
              <w:rPr>
                <w:color w:val="000000"/>
                <w:lang w:val="uk-UA"/>
              </w:rPr>
            </w:pPr>
            <w:r w:rsidRPr="00444B9C">
              <w:rPr>
                <w:color w:val="000000"/>
                <w:lang w:val="uk-UA"/>
              </w:rPr>
              <w:t>коефіцієнт поточної ліквідності (КЛ2)</w:t>
            </w:r>
          </w:p>
        </w:tc>
        <w:tc>
          <w:tcPr>
            <w:tcW w:w="3685" w:type="dxa"/>
            <w:tcBorders>
              <w:top w:val="single" w:sz="6" w:space="0" w:color="auto"/>
              <w:left w:val="single" w:sz="6" w:space="0" w:color="auto"/>
              <w:bottom w:val="single" w:sz="6" w:space="0" w:color="auto"/>
              <w:right w:val="single" w:sz="6" w:space="0" w:color="auto"/>
            </w:tcBorders>
          </w:tcPr>
          <w:p w:rsidR="004754D7" w:rsidRPr="00444B9C" w:rsidRDefault="003B0B14" w:rsidP="0078602D">
            <w:pPr>
              <w:tabs>
                <w:tab w:val="left" w:pos="0"/>
              </w:tabs>
              <w:snapToGrid w:val="0"/>
              <w:jc w:val="center"/>
              <w:rPr>
                <w:color w:val="000000"/>
                <w:lang w:val="uk-UA"/>
              </w:rPr>
            </w:pPr>
            <w:r w:rsidRPr="00444B9C">
              <w:rPr>
                <w:color w:val="000000"/>
                <w:lang w:val="uk-UA"/>
              </w:rPr>
              <w:t xml:space="preserve">підсумок розділу ІІ активу – </w:t>
            </w:r>
            <w:r w:rsidRPr="00444B9C">
              <w:rPr>
                <w:color w:val="000000"/>
                <w:u w:val="single"/>
                <w:lang w:val="uk-UA"/>
              </w:rPr>
              <w:t>рядки 1</w:t>
            </w:r>
            <w:r w:rsidR="004754D7" w:rsidRPr="00444B9C">
              <w:rPr>
                <w:color w:val="000000"/>
                <w:u w:val="single"/>
                <w:lang w:val="uk-UA"/>
              </w:rPr>
              <w:t>100,1110</w:t>
            </w:r>
            <w:r w:rsidRPr="00444B9C">
              <w:rPr>
                <w:color w:val="000000"/>
                <w:lang w:val="uk-UA"/>
              </w:rPr>
              <w:t xml:space="preserve"> </w:t>
            </w:r>
          </w:p>
          <w:p w:rsidR="003B0B14" w:rsidRPr="00444B9C" w:rsidRDefault="003B0B14" w:rsidP="0078602D">
            <w:pPr>
              <w:tabs>
                <w:tab w:val="left" w:pos="0"/>
              </w:tabs>
              <w:snapToGrid w:val="0"/>
              <w:jc w:val="center"/>
              <w:rPr>
                <w:color w:val="000000"/>
                <w:lang w:val="uk-UA"/>
              </w:rPr>
            </w:pPr>
            <w:r w:rsidRPr="00444B9C">
              <w:rPr>
                <w:color w:val="000000"/>
                <w:lang w:val="uk-UA"/>
              </w:rPr>
              <w:t>підсумок розділу ІII пасиву</w:t>
            </w:r>
          </w:p>
        </w:tc>
        <w:tc>
          <w:tcPr>
            <w:tcW w:w="1276" w:type="dxa"/>
            <w:tcBorders>
              <w:top w:val="single" w:sz="6" w:space="0" w:color="auto"/>
              <w:left w:val="single" w:sz="6" w:space="0" w:color="auto"/>
              <w:bottom w:val="single" w:sz="6" w:space="0" w:color="auto"/>
              <w:right w:val="single" w:sz="6" w:space="0" w:color="auto"/>
            </w:tcBorders>
          </w:tcPr>
          <w:p w:rsidR="003B0B14" w:rsidRPr="00444B9C" w:rsidRDefault="003B0B14" w:rsidP="0078602D">
            <w:pPr>
              <w:tabs>
                <w:tab w:val="left" w:pos="0"/>
              </w:tabs>
              <w:snapToGrid w:val="0"/>
              <w:jc w:val="center"/>
              <w:rPr>
                <w:color w:val="000000"/>
                <w:lang w:val="uk-UA"/>
              </w:rPr>
            </w:pPr>
            <w:r w:rsidRPr="00444B9C">
              <w:rPr>
                <w:color w:val="000000"/>
                <w:lang w:val="uk-UA"/>
              </w:rPr>
              <w:t>0,7-0,8</w:t>
            </w:r>
          </w:p>
        </w:tc>
        <w:tc>
          <w:tcPr>
            <w:tcW w:w="1984" w:type="dxa"/>
            <w:tcBorders>
              <w:top w:val="single" w:sz="6" w:space="0" w:color="auto"/>
              <w:left w:val="single" w:sz="6" w:space="0" w:color="auto"/>
              <w:bottom w:val="single" w:sz="6" w:space="0" w:color="auto"/>
              <w:right w:val="single" w:sz="6" w:space="0" w:color="auto"/>
            </w:tcBorders>
          </w:tcPr>
          <w:p w:rsidR="003B0B14" w:rsidRPr="00444B9C" w:rsidRDefault="004C0CD1" w:rsidP="004C0CD1">
            <w:pPr>
              <w:tabs>
                <w:tab w:val="left" w:pos="0"/>
              </w:tabs>
              <w:snapToGrid w:val="0"/>
              <w:jc w:val="center"/>
              <w:rPr>
                <w:color w:val="000000"/>
                <w:lang w:val="uk-UA"/>
              </w:rPr>
            </w:pPr>
            <w:r>
              <w:rPr>
                <w:lang w:val="uk-UA"/>
              </w:rPr>
              <w:t>0,8120</w:t>
            </w:r>
          </w:p>
        </w:tc>
      </w:tr>
      <w:tr w:rsidR="003B0B14" w:rsidRPr="00444B9C" w:rsidTr="000D105F">
        <w:trPr>
          <w:trHeight w:val="499"/>
        </w:trPr>
        <w:tc>
          <w:tcPr>
            <w:tcW w:w="2694" w:type="dxa"/>
            <w:tcBorders>
              <w:top w:val="single" w:sz="6" w:space="0" w:color="auto"/>
              <w:left w:val="single" w:sz="12" w:space="0" w:color="auto"/>
              <w:bottom w:val="single" w:sz="6" w:space="0" w:color="auto"/>
              <w:right w:val="single" w:sz="6" w:space="0" w:color="auto"/>
            </w:tcBorders>
          </w:tcPr>
          <w:p w:rsidR="003B0B14" w:rsidRPr="00444B9C" w:rsidRDefault="003B0B14" w:rsidP="0078602D">
            <w:pPr>
              <w:tabs>
                <w:tab w:val="left" w:pos="0"/>
              </w:tabs>
              <w:snapToGrid w:val="0"/>
              <w:jc w:val="center"/>
              <w:rPr>
                <w:color w:val="000000"/>
                <w:lang w:val="uk-UA"/>
              </w:rPr>
            </w:pPr>
            <w:r w:rsidRPr="00444B9C">
              <w:rPr>
                <w:color w:val="000000"/>
                <w:lang w:val="uk-UA"/>
              </w:rPr>
              <w:t>коефіцієнт абсолютної ліквідності (КЛ3)</w:t>
            </w:r>
          </w:p>
        </w:tc>
        <w:tc>
          <w:tcPr>
            <w:tcW w:w="3685" w:type="dxa"/>
            <w:tcBorders>
              <w:top w:val="single" w:sz="6" w:space="0" w:color="auto"/>
              <w:left w:val="single" w:sz="6" w:space="0" w:color="auto"/>
              <w:bottom w:val="single" w:sz="6" w:space="0" w:color="auto"/>
              <w:right w:val="single" w:sz="6" w:space="0" w:color="auto"/>
            </w:tcBorders>
          </w:tcPr>
          <w:p w:rsidR="003B0B14" w:rsidRPr="00444B9C" w:rsidRDefault="003B0B14" w:rsidP="0078602D">
            <w:pPr>
              <w:tabs>
                <w:tab w:val="left" w:pos="0"/>
              </w:tabs>
              <w:snapToGrid w:val="0"/>
              <w:jc w:val="center"/>
              <w:rPr>
                <w:color w:val="000000"/>
                <w:u w:val="single"/>
                <w:lang w:val="uk-UA"/>
              </w:rPr>
            </w:pPr>
            <w:r w:rsidRPr="00444B9C">
              <w:rPr>
                <w:color w:val="000000"/>
                <w:u w:val="single"/>
                <w:lang w:val="uk-UA"/>
              </w:rPr>
              <w:t>рядки 1160+1165</w:t>
            </w:r>
          </w:p>
          <w:p w:rsidR="003B0B14" w:rsidRPr="00444B9C" w:rsidRDefault="003B0B14" w:rsidP="0078602D">
            <w:pPr>
              <w:tabs>
                <w:tab w:val="left" w:pos="0"/>
              </w:tabs>
              <w:snapToGrid w:val="0"/>
              <w:jc w:val="center"/>
              <w:rPr>
                <w:color w:val="000000"/>
                <w:lang w:val="uk-UA"/>
              </w:rPr>
            </w:pPr>
            <w:r w:rsidRPr="00444B9C">
              <w:rPr>
                <w:color w:val="000000"/>
                <w:lang w:val="uk-UA"/>
              </w:rPr>
              <w:t>підсумок розділу ІII пасиву</w:t>
            </w:r>
          </w:p>
        </w:tc>
        <w:tc>
          <w:tcPr>
            <w:tcW w:w="1276" w:type="dxa"/>
            <w:tcBorders>
              <w:top w:val="single" w:sz="6" w:space="0" w:color="auto"/>
              <w:left w:val="single" w:sz="6" w:space="0" w:color="auto"/>
              <w:bottom w:val="single" w:sz="6" w:space="0" w:color="auto"/>
              <w:right w:val="single" w:sz="6" w:space="0" w:color="auto"/>
            </w:tcBorders>
          </w:tcPr>
          <w:p w:rsidR="003B0B14" w:rsidRPr="00444B9C" w:rsidRDefault="003B0B14" w:rsidP="0078602D">
            <w:pPr>
              <w:tabs>
                <w:tab w:val="left" w:pos="0"/>
              </w:tabs>
              <w:snapToGrid w:val="0"/>
              <w:jc w:val="center"/>
              <w:rPr>
                <w:color w:val="000000"/>
                <w:lang w:val="uk-UA"/>
              </w:rPr>
            </w:pPr>
            <w:r w:rsidRPr="00444B9C">
              <w:rPr>
                <w:color w:val="000000"/>
                <w:lang w:val="uk-UA"/>
              </w:rPr>
              <w:t>0,2 -0,25</w:t>
            </w:r>
          </w:p>
        </w:tc>
        <w:tc>
          <w:tcPr>
            <w:tcW w:w="1984" w:type="dxa"/>
            <w:tcBorders>
              <w:top w:val="single" w:sz="6" w:space="0" w:color="auto"/>
              <w:left w:val="single" w:sz="6" w:space="0" w:color="auto"/>
              <w:bottom w:val="single" w:sz="6" w:space="0" w:color="auto"/>
              <w:right w:val="single" w:sz="6" w:space="0" w:color="auto"/>
            </w:tcBorders>
          </w:tcPr>
          <w:p w:rsidR="003B0B14" w:rsidRPr="00444B9C" w:rsidRDefault="004C0CD1" w:rsidP="0078602D">
            <w:pPr>
              <w:tabs>
                <w:tab w:val="left" w:pos="0"/>
              </w:tabs>
              <w:jc w:val="center"/>
              <w:rPr>
                <w:lang w:val="uk-UA"/>
              </w:rPr>
            </w:pPr>
            <w:r>
              <w:rPr>
                <w:lang w:val="uk-UA"/>
              </w:rPr>
              <w:t>0,2131</w:t>
            </w:r>
          </w:p>
        </w:tc>
      </w:tr>
      <w:tr w:rsidR="003B0B14" w:rsidRPr="00444B9C" w:rsidTr="000D105F">
        <w:trPr>
          <w:trHeight w:val="250"/>
        </w:trPr>
        <w:tc>
          <w:tcPr>
            <w:tcW w:w="9639" w:type="dxa"/>
            <w:gridSpan w:val="4"/>
            <w:tcBorders>
              <w:top w:val="single" w:sz="6" w:space="0" w:color="auto"/>
              <w:left w:val="single" w:sz="12" w:space="0" w:color="auto"/>
              <w:bottom w:val="single" w:sz="6" w:space="0" w:color="auto"/>
              <w:right w:val="single" w:sz="2" w:space="0" w:color="000000"/>
            </w:tcBorders>
          </w:tcPr>
          <w:p w:rsidR="003B0B14" w:rsidRPr="00444B9C" w:rsidRDefault="003B0B14" w:rsidP="0078602D">
            <w:pPr>
              <w:tabs>
                <w:tab w:val="left" w:pos="0"/>
              </w:tabs>
              <w:snapToGrid w:val="0"/>
              <w:jc w:val="center"/>
              <w:rPr>
                <w:color w:val="000000"/>
                <w:lang w:val="uk-UA"/>
              </w:rPr>
            </w:pPr>
            <w:r w:rsidRPr="00444B9C">
              <w:rPr>
                <w:b/>
                <w:color w:val="000000"/>
                <w:lang w:val="uk-UA"/>
              </w:rPr>
              <w:t>Фінансова стійкість</w:t>
            </w:r>
          </w:p>
        </w:tc>
      </w:tr>
      <w:tr w:rsidR="003B0B14" w:rsidRPr="00444B9C" w:rsidTr="000D105F">
        <w:trPr>
          <w:trHeight w:val="749"/>
        </w:trPr>
        <w:tc>
          <w:tcPr>
            <w:tcW w:w="2694" w:type="dxa"/>
            <w:tcBorders>
              <w:top w:val="single" w:sz="6" w:space="0" w:color="auto"/>
              <w:left w:val="single" w:sz="12" w:space="0" w:color="auto"/>
              <w:bottom w:val="single" w:sz="6" w:space="0" w:color="auto"/>
              <w:right w:val="single" w:sz="6" w:space="0" w:color="auto"/>
            </w:tcBorders>
          </w:tcPr>
          <w:p w:rsidR="003B0B14" w:rsidRPr="00444B9C" w:rsidRDefault="003B0B14" w:rsidP="0078602D">
            <w:pPr>
              <w:tabs>
                <w:tab w:val="left" w:pos="0"/>
              </w:tabs>
              <w:snapToGrid w:val="0"/>
              <w:jc w:val="center"/>
              <w:rPr>
                <w:color w:val="000000"/>
                <w:lang w:val="uk-UA"/>
              </w:rPr>
            </w:pPr>
            <w:r w:rsidRPr="00444B9C">
              <w:rPr>
                <w:color w:val="000000"/>
                <w:lang w:val="uk-UA"/>
              </w:rPr>
              <w:t>коефіцієнт співвідношення залучених і власних коштів (власного капіталу) (КЗВ)</w:t>
            </w:r>
          </w:p>
        </w:tc>
        <w:tc>
          <w:tcPr>
            <w:tcW w:w="3685" w:type="dxa"/>
            <w:tcBorders>
              <w:top w:val="single" w:sz="6" w:space="0" w:color="auto"/>
              <w:left w:val="single" w:sz="6" w:space="0" w:color="auto"/>
              <w:bottom w:val="single" w:sz="6" w:space="0" w:color="auto"/>
              <w:right w:val="single" w:sz="6" w:space="0" w:color="auto"/>
            </w:tcBorders>
          </w:tcPr>
          <w:p w:rsidR="003B0B14" w:rsidRPr="00444B9C" w:rsidRDefault="004754D7" w:rsidP="004754D7">
            <w:pPr>
              <w:tabs>
                <w:tab w:val="left" w:pos="0"/>
              </w:tabs>
              <w:snapToGrid w:val="0"/>
              <w:jc w:val="center"/>
              <w:rPr>
                <w:color w:val="000000"/>
                <w:lang w:val="uk-UA"/>
              </w:rPr>
            </w:pPr>
            <w:r w:rsidRPr="00444B9C">
              <w:rPr>
                <w:color w:val="000000"/>
                <w:u w:val="single"/>
                <w:lang w:val="uk-UA"/>
              </w:rPr>
              <w:t xml:space="preserve">підсумок розділу пасиву (ІІ + </w:t>
            </w:r>
            <w:r w:rsidR="003B0B14" w:rsidRPr="00444B9C">
              <w:rPr>
                <w:color w:val="000000"/>
                <w:u w:val="single"/>
                <w:lang w:val="uk-UA"/>
              </w:rPr>
              <w:t>ІII</w:t>
            </w:r>
            <w:r w:rsidRPr="00444B9C">
              <w:rPr>
                <w:color w:val="000000"/>
                <w:u w:val="single"/>
                <w:lang w:val="uk-UA"/>
              </w:rPr>
              <w:t xml:space="preserve">) </w:t>
            </w:r>
            <w:r w:rsidR="003B0B14" w:rsidRPr="00444B9C">
              <w:rPr>
                <w:color w:val="000000"/>
                <w:lang w:val="uk-UA"/>
              </w:rPr>
              <w:t>підсумок розділу І пасиву</w:t>
            </w:r>
          </w:p>
        </w:tc>
        <w:tc>
          <w:tcPr>
            <w:tcW w:w="1276" w:type="dxa"/>
            <w:tcBorders>
              <w:top w:val="single" w:sz="6" w:space="0" w:color="auto"/>
              <w:left w:val="single" w:sz="6" w:space="0" w:color="auto"/>
              <w:bottom w:val="single" w:sz="6" w:space="0" w:color="auto"/>
              <w:right w:val="single" w:sz="6" w:space="0" w:color="auto"/>
            </w:tcBorders>
          </w:tcPr>
          <w:p w:rsidR="003B0B14" w:rsidRPr="00444B9C" w:rsidRDefault="003B0B14" w:rsidP="0078602D">
            <w:pPr>
              <w:tabs>
                <w:tab w:val="left" w:pos="0"/>
              </w:tabs>
              <w:snapToGrid w:val="0"/>
              <w:jc w:val="center"/>
              <w:rPr>
                <w:color w:val="000000"/>
                <w:lang w:val="uk-UA"/>
              </w:rPr>
            </w:pPr>
            <w:r w:rsidRPr="00444B9C">
              <w:rPr>
                <w:color w:val="000000"/>
                <w:lang w:val="uk-UA"/>
              </w:rPr>
              <w:t>не більш 1,0</w:t>
            </w:r>
          </w:p>
        </w:tc>
        <w:tc>
          <w:tcPr>
            <w:tcW w:w="1984" w:type="dxa"/>
            <w:tcBorders>
              <w:top w:val="single" w:sz="6" w:space="0" w:color="auto"/>
              <w:left w:val="single" w:sz="6" w:space="0" w:color="auto"/>
              <w:bottom w:val="single" w:sz="6" w:space="0" w:color="auto"/>
              <w:right w:val="single" w:sz="6" w:space="0" w:color="auto"/>
            </w:tcBorders>
          </w:tcPr>
          <w:p w:rsidR="003B0B14" w:rsidRPr="00444B9C" w:rsidRDefault="004C0CD1" w:rsidP="0078602D">
            <w:pPr>
              <w:tabs>
                <w:tab w:val="left" w:pos="0"/>
              </w:tabs>
              <w:snapToGrid w:val="0"/>
              <w:jc w:val="center"/>
              <w:rPr>
                <w:color w:val="000000"/>
                <w:lang w:val="uk-UA"/>
              </w:rPr>
            </w:pPr>
            <w:r>
              <w:rPr>
                <w:color w:val="000000"/>
                <w:lang w:val="uk-UA"/>
              </w:rPr>
              <w:t>10,3568</w:t>
            </w:r>
          </w:p>
        </w:tc>
      </w:tr>
      <w:tr w:rsidR="003B0B14" w:rsidRPr="00444B9C" w:rsidTr="000D105F">
        <w:trPr>
          <w:trHeight w:val="950"/>
        </w:trPr>
        <w:tc>
          <w:tcPr>
            <w:tcW w:w="2694" w:type="dxa"/>
            <w:tcBorders>
              <w:top w:val="single" w:sz="6" w:space="0" w:color="auto"/>
              <w:left w:val="single" w:sz="12" w:space="0" w:color="auto"/>
              <w:bottom w:val="single" w:sz="12" w:space="0" w:color="auto"/>
              <w:right w:val="single" w:sz="6" w:space="0" w:color="auto"/>
            </w:tcBorders>
          </w:tcPr>
          <w:p w:rsidR="003B0B14" w:rsidRPr="00444B9C" w:rsidRDefault="003B0B14" w:rsidP="0078602D">
            <w:pPr>
              <w:tabs>
                <w:tab w:val="left" w:pos="0"/>
              </w:tabs>
              <w:snapToGrid w:val="0"/>
              <w:jc w:val="center"/>
              <w:rPr>
                <w:color w:val="000000"/>
                <w:lang w:val="uk-UA"/>
              </w:rPr>
            </w:pPr>
            <w:r w:rsidRPr="00444B9C">
              <w:rPr>
                <w:color w:val="000000"/>
                <w:lang w:val="uk-UA"/>
              </w:rPr>
              <w:t>коефіцієнт фінансової незалежності (КФН)</w:t>
            </w:r>
          </w:p>
        </w:tc>
        <w:tc>
          <w:tcPr>
            <w:tcW w:w="3685" w:type="dxa"/>
            <w:tcBorders>
              <w:top w:val="single" w:sz="6" w:space="0" w:color="auto"/>
              <w:left w:val="single" w:sz="6" w:space="0" w:color="auto"/>
              <w:bottom w:val="single" w:sz="12" w:space="0" w:color="auto"/>
              <w:right w:val="single" w:sz="6" w:space="0" w:color="auto"/>
            </w:tcBorders>
          </w:tcPr>
          <w:p w:rsidR="003B0B14" w:rsidRPr="00444B9C" w:rsidRDefault="003B0B14" w:rsidP="0078602D">
            <w:pPr>
              <w:tabs>
                <w:tab w:val="left" w:pos="0"/>
              </w:tabs>
              <w:snapToGrid w:val="0"/>
              <w:jc w:val="center"/>
              <w:rPr>
                <w:b/>
                <w:color w:val="000000"/>
                <w:u w:val="single"/>
                <w:lang w:val="uk-UA"/>
              </w:rPr>
            </w:pPr>
            <w:r w:rsidRPr="00444B9C">
              <w:rPr>
                <w:color w:val="000000"/>
                <w:u w:val="single"/>
                <w:lang w:val="uk-UA"/>
              </w:rPr>
              <w:t xml:space="preserve">підсумок розділу І </w:t>
            </w:r>
            <w:r w:rsidRPr="00444B9C">
              <w:rPr>
                <w:b/>
                <w:color w:val="000000"/>
                <w:u w:val="single"/>
                <w:lang w:val="uk-UA"/>
              </w:rPr>
              <w:t>:</w:t>
            </w:r>
          </w:p>
          <w:p w:rsidR="003B0B14" w:rsidRPr="00444B9C" w:rsidRDefault="003B0B14" w:rsidP="0078602D">
            <w:pPr>
              <w:tabs>
                <w:tab w:val="left" w:pos="0"/>
              </w:tabs>
              <w:snapToGrid w:val="0"/>
              <w:jc w:val="center"/>
              <w:rPr>
                <w:color w:val="000000"/>
                <w:lang w:val="uk-UA"/>
              </w:rPr>
            </w:pPr>
            <w:r w:rsidRPr="00444B9C">
              <w:rPr>
                <w:color w:val="000000"/>
                <w:lang w:val="uk-UA"/>
              </w:rPr>
              <w:t>підсумок розділу пасиву (ІІ + ІII)</w:t>
            </w:r>
          </w:p>
        </w:tc>
        <w:tc>
          <w:tcPr>
            <w:tcW w:w="1276" w:type="dxa"/>
            <w:tcBorders>
              <w:top w:val="single" w:sz="6" w:space="0" w:color="auto"/>
              <w:left w:val="single" w:sz="6" w:space="0" w:color="auto"/>
              <w:bottom w:val="single" w:sz="12" w:space="0" w:color="auto"/>
              <w:right w:val="single" w:sz="6" w:space="0" w:color="auto"/>
            </w:tcBorders>
          </w:tcPr>
          <w:p w:rsidR="003B0B14" w:rsidRPr="00444B9C" w:rsidRDefault="003B0B14" w:rsidP="0078602D">
            <w:pPr>
              <w:tabs>
                <w:tab w:val="left" w:pos="0"/>
              </w:tabs>
              <w:snapToGrid w:val="0"/>
              <w:jc w:val="center"/>
              <w:rPr>
                <w:color w:val="000000"/>
                <w:lang w:val="uk-UA"/>
              </w:rPr>
            </w:pPr>
            <w:r w:rsidRPr="00444B9C">
              <w:rPr>
                <w:color w:val="000000"/>
                <w:lang w:val="uk-UA"/>
              </w:rPr>
              <w:t>не менш 0,2</w:t>
            </w:r>
          </w:p>
        </w:tc>
        <w:tc>
          <w:tcPr>
            <w:tcW w:w="1984" w:type="dxa"/>
            <w:tcBorders>
              <w:top w:val="single" w:sz="6" w:space="0" w:color="auto"/>
              <w:left w:val="single" w:sz="6" w:space="0" w:color="auto"/>
              <w:bottom w:val="single" w:sz="12" w:space="0" w:color="auto"/>
              <w:right w:val="single" w:sz="6" w:space="0" w:color="auto"/>
            </w:tcBorders>
          </w:tcPr>
          <w:p w:rsidR="003B0B14" w:rsidRPr="00444B9C" w:rsidRDefault="004C0CD1" w:rsidP="0078602D">
            <w:pPr>
              <w:tabs>
                <w:tab w:val="left" w:pos="0"/>
              </w:tabs>
              <w:jc w:val="center"/>
              <w:rPr>
                <w:lang w:val="uk-UA"/>
              </w:rPr>
            </w:pPr>
            <w:r>
              <w:rPr>
                <w:lang w:val="uk-UA"/>
              </w:rPr>
              <w:t>0,09655</w:t>
            </w:r>
          </w:p>
        </w:tc>
      </w:tr>
    </w:tbl>
    <w:p w:rsidR="003B0B14" w:rsidRPr="00444B9C" w:rsidRDefault="003B0B14" w:rsidP="009C0AA4">
      <w:pPr>
        <w:shd w:val="clear" w:color="auto" w:fill="FFFFFF"/>
        <w:tabs>
          <w:tab w:val="left" w:pos="0"/>
        </w:tabs>
        <w:autoSpaceDE w:val="0"/>
        <w:autoSpaceDN w:val="0"/>
        <w:adjustRightInd w:val="0"/>
        <w:jc w:val="both"/>
        <w:rPr>
          <w:lang w:val="uk-UA"/>
        </w:rPr>
      </w:pPr>
      <w:r w:rsidRPr="00444B9C">
        <w:rPr>
          <w:lang w:val="uk-UA"/>
        </w:rPr>
        <w:t xml:space="preserve">Фінансовий стан Товариства стабільний. </w:t>
      </w:r>
      <w:r w:rsidR="00664D0F" w:rsidRPr="00444B9C">
        <w:rPr>
          <w:lang w:val="uk-UA"/>
        </w:rPr>
        <w:t>Господарська діяльність</w:t>
      </w:r>
      <w:r w:rsidRPr="00444B9C">
        <w:rPr>
          <w:lang w:val="uk-UA"/>
        </w:rPr>
        <w:t xml:space="preserve"> здійснюється за рахунок власних коштів.</w:t>
      </w:r>
    </w:p>
    <w:p w:rsidR="00841462" w:rsidRPr="00444B9C" w:rsidRDefault="00841462" w:rsidP="00DA67E2">
      <w:pPr>
        <w:tabs>
          <w:tab w:val="left" w:pos="0"/>
        </w:tabs>
        <w:jc w:val="both"/>
        <w:rPr>
          <w:lang w:val="uk-UA"/>
        </w:rPr>
      </w:pPr>
    </w:p>
    <w:p w:rsidR="00D75CB5" w:rsidRPr="00444B9C" w:rsidRDefault="00D75CB5" w:rsidP="00DA67E2">
      <w:pPr>
        <w:widowControl w:val="0"/>
        <w:tabs>
          <w:tab w:val="left" w:pos="0"/>
        </w:tabs>
        <w:autoSpaceDE w:val="0"/>
        <w:autoSpaceDN w:val="0"/>
        <w:adjustRightInd w:val="0"/>
        <w:rPr>
          <w:b/>
          <w:bCs/>
          <w:i/>
          <w:lang w:val="uk-UA"/>
        </w:rPr>
      </w:pPr>
      <w:r w:rsidRPr="00444B9C">
        <w:rPr>
          <w:b/>
          <w:bCs/>
          <w:u w:val="single"/>
          <w:lang w:val="uk-UA"/>
        </w:rPr>
        <w:t xml:space="preserve">Щодо перевищення вартості чистих активів </w:t>
      </w:r>
      <w:r w:rsidR="00990F21" w:rsidRPr="00444B9C">
        <w:rPr>
          <w:b/>
          <w:bCs/>
          <w:u w:val="single"/>
          <w:lang w:val="uk-UA"/>
        </w:rPr>
        <w:t>Товариства</w:t>
      </w:r>
      <w:r w:rsidRPr="00444B9C">
        <w:rPr>
          <w:b/>
          <w:u w:val="single"/>
          <w:lang w:val="uk-UA"/>
        </w:rPr>
        <w:t xml:space="preserve">  над зареєстрованим розміром статутного капіталу</w:t>
      </w:r>
    </w:p>
    <w:p w:rsidR="00D75CB5" w:rsidRPr="00444B9C" w:rsidRDefault="00D75CB5" w:rsidP="00DA67E2">
      <w:pPr>
        <w:widowControl w:val="0"/>
        <w:tabs>
          <w:tab w:val="left" w:pos="0"/>
        </w:tabs>
        <w:jc w:val="both"/>
        <w:rPr>
          <w:lang w:val="uk-UA"/>
        </w:rPr>
      </w:pPr>
      <w:r w:rsidRPr="00444B9C">
        <w:rPr>
          <w:lang w:val="uk-UA"/>
        </w:rPr>
        <w:t xml:space="preserve">Методика розрахунку вартості чистих активів за попередній та звітний періоди </w:t>
      </w:r>
      <w:r w:rsidRPr="00444B9C">
        <w:rPr>
          <w:lang w:val="uk-UA"/>
        </w:rPr>
        <w:lastRenderedPageBreak/>
        <w:t>здійснювалась відповідно до “Методичних рекомендацій щодо визначення  вартості чистих активів  акціонерних  товариств”, затверджених рішенням Державної комісії з цінних паперів та фондового ринку від 17.11.2004 р. № 485 (з урахуванням змін показників фінансової звітності).</w:t>
      </w:r>
    </w:p>
    <w:p w:rsidR="00BD7F4C" w:rsidRDefault="00BD7F4C" w:rsidP="00DA67E2">
      <w:pPr>
        <w:widowControl w:val="0"/>
        <w:tabs>
          <w:tab w:val="left" w:pos="0"/>
          <w:tab w:val="left" w:pos="90"/>
        </w:tabs>
        <w:autoSpaceDE w:val="0"/>
        <w:autoSpaceDN w:val="0"/>
        <w:adjustRightInd w:val="0"/>
        <w:jc w:val="center"/>
        <w:rPr>
          <w:b/>
          <w:bCs/>
          <w:color w:val="000000"/>
          <w:lang w:val="uk-UA"/>
        </w:rPr>
      </w:pPr>
    </w:p>
    <w:p w:rsidR="00D75CB5" w:rsidRPr="00444B9C" w:rsidRDefault="00D75CB5" w:rsidP="00DA67E2">
      <w:pPr>
        <w:widowControl w:val="0"/>
        <w:tabs>
          <w:tab w:val="left" w:pos="0"/>
          <w:tab w:val="left" w:pos="90"/>
        </w:tabs>
        <w:autoSpaceDE w:val="0"/>
        <w:autoSpaceDN w:val="0"/>
        <w:adjustRightInd w:val="0"/>
        <w:jc w:val="center"/>
        <w:rPr>
          <w:b/>
          <w:bCs/>
          <w:color w:val="000000"/>
          <w:lang w:val="uk-UA"/>
        </w:rPr>
      </w:pPr>
      <w:r w:rsidRPr="00444B9C">
        <w:rPr>
          <w:b/>
          <w:bCs/>
          <w:color w:val="000000"/>
          <w:lang w:val="uk-UA"/>
        </w:rPr>
        <w:t xml:space="preserve">Розрахунок вартості чистих активів </w:t>
      </w:r>
    </w:p>
    <w:p w:rsidR="007217A1" w:rsidRPr="00444B9C" w:rsidRDefault="007217A1" w:rsidP="00DA67E2">
      <w:pPr>
        <w:widowControl w:val="0"/>
        <w:tabs>
          <w:tab w:val="left" w:pos="0"/>
          <w:tab w:val="left" w:pos="90"/>
        </w:tabs>
        <w:autoSpaceDE w:val="0"/>
        <w:autoSpaceDN w:val="0"/>
        <w:adjustRightInd w:val="0"/>
        <w:jc w:val="center"/>
        <w:rPr>
          <w:b/>
          <w:bCs/>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552"/>
        <w:gridCol w:w="2409"/>
      </w:tblGrid>
      <w:tr w:rsidR="00D75CB5" w:rsidRPr="00444B9C" w:rsidTr="005A4C3A">
        <w:tc>
          <w:tcPr>
            <w:tcW w:w="4786" w:type="dxa"/>
          </w:tcPr>
          <w:p w:rsidR="00D75CB5" w:rsidRPr="00444B9C" w:rsidRDefault="00D75CB5" w:rsidP="00DA67E2">
            <w:pPr>
              <w:widowControl w:val="0"/>
              <w:tabs>
                <w:tab w:val="left" w:pos="0"/>
                <w:tab w:val="left" w:pos="90"/>
              </w:tabs>
              <w:autoSpaceDE w:val="0"/>
              <w:autoSpaceDN w:val="0"/>
              <w:adjustRightInd w:val="0"/>
              <w:jc w:val="center"/>
              <w:rPr>
                <w:b/>
                <w:bCs/>
                <w:color w:val="000000"/>
                <w:lang w:val="uk-UA"/>
              </w:rPr>
            </w:pPr>
            <w:r w:rsidRPr="00444B9C">
              <w:rPr>
                <w:color w:val="000000"/>
                <w:lang w:val="uk-UA"/>
              </w:rPr>
              <w:t>Найменування показника</w:t>
            </w:r>
          </w:p>
        </w:tc>
        <w:tc>
          <w:tcPr>
            <w:tcW w:w="2552" w:type="dxa"/>
          </w:tcPr>
          <w:p w:rsidR="00E21B04" w:rsidRPr="00444B9C" w:rsidRDefault="00D75CB5" w:rsidP="00DA67E2">
            <w:pPr>
              <w:widowControl w:val="0"/>
              <w:tabs>
                <w:tab w:val="left" w:pos="0"/>
                <w:tab w:val="left" w:pos="90"/>
              </w:tabs>
              <w:autoSpaceDE w:val="0"/>
              <w:autoSpaceDN w:val="0"/>
              <w:adjustRightInd w:val="0"/>
              <w:jc w:val="center"/>
              <w:rPr>
                <w:color w:val="000000"/>
                <w:lang w:val="uk-UA"/>
              </w:rPr>
            </w:pPr>
            <w:r w:rsidRPr="00444B9C">
              <w:rPr>
                <w:color w:val="000000"/>
                <w:lang w:val="uk-UA"/>
              </w:rPr>
              <w:t xml:space="preserve">За звітний період </w:t>
            </w:r>
          </w:p>
          <w:p w:rsidR="00D75CB5" w:rsidRPr="00444B9C" w:rsidRDefault="00D75CB5" w:rsidP="00DA67E2">
            <w:pPr>
              <w:widowControl w:val="0"/>
              <w:tabs>
                <w:tab w:val="left" w:pos="0"/>
                <w:tab w:val="left" w:pos="90"/>
              </w:tabs>
              <w:autoSpaceDE w:val="0"/>
              <w:autoSpaceDN w:val="0"/>
              <w:adjustRightInd w:val="0"/>
              <w:jc w:val="center"/>
              <w:rPr>
                <w:b/>
                <w:bCs/>
                <w:color w:val="000000"/>
                <w:lang w:val="uk-UA"/>
              </w:rPr>
            </w:pPr>
            <w:r w:rsidRPr="00444B9C">
              <w:rPr>
                <w:color w:val="000000"/>
                <w:lang w:val="uk-UA"/>
              </w:rPr>
              <w:t>(тис. грн.)</w:t>
            </w:r>
          </w:p>
        </w:tc>
        <w:tc>
          <w:tcPr>
            <w:tcW w:w="2409" w:type="dxa"/>
          </w:tcPr>
          <w:p w:rsidR="00D75CB5" w:rsidRPr="00444B9C" w:rsidRDefault="00D75CB5" w:rsidP="00DA67E2">
            <w:pPr>
              <w:widowControl w:val="0"/>
              <w:tabs>
                <w:tab w:val="left" w:pos="0"/>
                <w:tab w:val="left" w:pos="90"/>
              </w:tabs>
              <w:autoSpaceDE w:val="0"/>
              <w:autoSpaceDN w:val="0"/>
              <w:adjustRightInd w:val="0"/>
              <w:jc w:val="center"/>
              <w:rPr>
                <w:color w:val="000000"/>
                <w:lang w:val="uk-UA"/>
              </w:rPr>
            </w:pPr>
            <w:r w:rsidRPr="00444B9C">
              <w:rPr>
                <w:color w:val="000000"/>
                <w:lang w:val="uk-UA"/>
              </w:rPr>
              <w:t xml:space="preserve">За попередній період </w:t>
            </w:r>
          </w:p>
          <w:p w:rsidR="00D75CB5" w:rsidRPr="00444B9C" w:rsidRDefault="00D75CB5" w:rsidP="00DA67E2">
            <w:pPr>
              <w:widowControl w:val="0"/>
              <w:tabs>
                <w:tab w:val="left" w:pos="0"/>
                <w:tab w:val="left" w:pos="90"/>
              </w:tabs>
              <w:autoSpaceDE w:val="0"/>
              <w:autoSpaceDN w:val="0"/>
              <w:adjustRightInd w:val="0"/>
              <w:jc w:val="center"/>
              <w:rPr>
                <w:b/>
                <w:bCs/>
                <w:color w:val="000000"/>
                <w:lang w:val="uk-UA"/>
              </w:rPr>
            </w:pPr>
            <w:r w:rsidRPr="00444B9C">
              <w:rPr>
                <w:color w:val="000000"/>
                <w:lang w:val="uk-UA"/>
              </w:rPr>
              <w:t>(тис. грн.)</w:t>
            </w:r>
          </w:p>
        </w:tc>
      </w:tr>
      <w:tr w:rsidR="00000267" w:rsidRPr="00444B9C" w:rsidTr="005A4C3A">
        <w:tc>
          <w:tcPr>
            <w:tcW w:w="4786" w:type="dxa"/>
          </w:tcPr>
          <w:p w:rsidR="00000267" w:rsidRPr="00444B9C" w:rsidRDefault="00000267" w:rsidP="00DA67E2">
            <w:pPr>
              <w:widowControl w:val="0"/>
              <w:tabs>
                <w:tab w:val="left" w:pos="0"/>
                <w:tab w:val="left" w:pos="90"/>
              </w:tabs>
              <w:autoSpaceDE w:val="0"/>
              <w:autoSpaceDN w:val="0"/>
              <w:adjustRightInd w:val="0"/>
              <w:rPr>
                <w:color w:val="000000"/>
                <w:lang w:val="uk-UA"/>
              </w:rPr>
            </w:pPr>
            <w:r w:rsidRPr="00444B9C">
              <w:rPr>
                <w:color w:val="000000"/>
                <w:lang w:val="uk-UA"/>
              </w:rPr>
              <w:t>Розрахункова вартість чистих активів (активи-зобов’язання)</w:t>
            </w:r>
          </w:p>
        </w:tc>
        <w:tc>
          <w:tcPr>
            <w:tcW w:w="2552" w:type="dxa"/>
          </w:tcPr>
          <w:p w:rsidR="00000267" w:rsidRPr="00444B9C" w:rsidRDefault="004C0CD1" w:rsidP="00E21B04">
            <w:pPr>
              <w:widowControl w:val="0"/>
              <w:tabs>
                <w:tab w:val="left" w:pos="0"/>
                <w:tab w:val="left" w:pos="90"/>
              </w:tabs>
              <w:autoSpaceDE w:val="0"/>
              <w:autoSpaceDN w:val="0"/>
              <w:adjustRightInd w:val="0"/>
              <w:jc w:val="center"/>
              <w:rPr>
                <w:bCs/>
                <w:color w:val="000000"/>
                <w:lang w:val="uk-UA"/>
              </w:rPr>
            </w:pPr>
            <w:r>
              <w:rPr>
                <w:bCs/>
                <w:color w:val="000000"/>
                <w:lang w:val="uk-UA"/>
              </w:rPr>
              <w:t>6428</w:t>
            </w:r>
          </w:p>
        </w:tc>
        <w:tc>
          <w:tcPr>
            <w:tcW w:w="2409" w:type="dxa"/>
          </w:tcPr>
          <w:p w:rsidR="00000267" w:rsidRPr="00444B9C" w:rsidRDefault="004C0CD1" w:rsidP="00DA67E2">
            <w:pPr>
              <w:widowControl w:val="0"/>
              <w:tabs>
                <w:tab w:val="left" w:pos="0"/>
                <w:tab w:val="left" w:pos="90"/>
              </w:tabs>
              <w:autoSpaceDE w:val="0"/>
              <w:autoSpaceDN w:val="0"/>
              <w:adjustRightInd w:val="0"/>
              <w:jc w:val="center"/>
              <w:rPr>
                <w:bCs/>
                <w:color w:val="000000"/>
                <w:lang w:val="uk-UA"/>
              </w:rPr>
            </w:pPr>
            <w:r>
              <w:rPr>
                <w:bCs/>
                <w:color w:val="000000"/>
                <w:lang w:val="uk-UA"/>
              </w:rPr>
              <w:t>16925</w:t>
            </w:r>
          </w:p>
        </w:tc>
      </w:tr>
      <w:tr w:rsidR="00000267" w:rsidRPr="00444B9C" w:rsidTr="005A4C3A">
        <w:tc>
          <w:tcPr>
            <w:tcW w:w="4786" w:type="dxa"/>
          </w:tcPr>
          <w:p w:rsidR="00000267" w:rsidRPr="00444B9C" w:rsidRDefault="00E21B04" w:rsidP="00DA67E2">
            <w:pPr>
              <w:widowControl w:val="0"/>
              <w:tabs>
                <w:tab w:val="left" w:pos="0"/>
                <w:tab w:val="left" w:pos="90"/>
              </w:tabs>
              <w:autoSpaceDE w:val="0"/>
              <w:autoSpaceDN w:val="0"/>
              <w:adjustRightInd w:val="0"/>
              <w:rPr>
                <w:b/>
                <w:bCs/>
                <w:color w:val="000000"/>
                <w:lang w:val="uk-UA"/>
              </w:rPr>
            </w:pPr>
            <w:r w:rsidRPr="00444B9C">
              <w:rPr>
                <w:color w:val="000000"/>
                <w:lang w:val="uk-UA"/>
              </w:rPr>
              <w:t>С</w:t>
            </w:r>
            <w:r w:rsidR="00000267" w:rsidRPr="00444B9C">
              <w:rPr>
                <w:color w:val="000000"/>
                <w:lang w:val="uk-UA"/>
              </w:rPr>
              <w:t>плачений статутний капітал</w:t>
            </w:r>
          </w:p>
        </w:tc>
        <w:tc>
          <w:tcPr>
            <w:tcW w:w="2552" w:type="dxa"/>
          </w:tcPr>
          <w:p w:rsidR="00000267" w:rsidRPr="00444B9C" w:rsidRDefault="004C0CD1" w:rsidP="004C0CD1">
            <w:pPr>
              <w:widowControl w:val="0"/>
              <w:tabs>
                <w:tab w:val="left" w:pos="0"/>
                <w:tab w:val="left" w:pos="90"/>
              </w:tabs>
              <w:autoSpaceDE w:val="0"/>
              <w:autoSpaceDN w:val="0"/>
              <w:adjustRightInd w:val="0"/>
              <w:jc w:val="center"/>
              <w:rPr>
                <w:bCs/>
                <w:color w:val="000000"/>
                <w:lang w:val="uk-UA"/>
              </w:rPr>
            </w:pPr>
            <w:r>
              <w:rPr>
                <w:bCs/>
                <w:color w:val="000000"/>
                <w:lang w:val="uk-UA"/>
              </w:rPr>
              <w:t>1</w:t>
            </w:r>
            <w:r w:rsidR="00E21B04" w:rsidRPr="00444B9C">
              <w:rPr>
                <w:bCs/>
                <w:color w:val="000000"/>
                <w:lang w:val="uk-UA"/>
              </w:rPr>
              <w:t xml:space="preserve">6 </w:t>
            </w:r>
            <w:r>
              <w:rPr>
                <w:bCs/>
                <w:color w:val="000000"/>
                <w:lang w:val="uk-UA"/>
              </w:rPr>
              <w:t>5</w:t>
            </w:r>
            <w:r w:rsidR="00E21B04" w:rsidRPr="00444B9C">
              <w:rPr>
                <w:bCs/>
                <w:color w:val="000000"/>
                <w:lang w:val="uk-UA"/>
              </w:rPr>
              <w:t>00</w:t>
            </w:r>
          </w:p>
        </w:tc>
        <w:tc>
          <w:tcPr>
            <w:tcW w:w="2409" w:type="dxa"/>
          </w:tcPr>
          <w:p w:rsidR="00000267" w:rsidRPr="00444B9C" w:rsidRDefault="004C0CD1" w:rsidP="004C0CD1">
            <w:pPr>
              <w:widowControl w:val="0"/>
              <w:tabs>
                <w:tab w:val="left" w:pos="0"/>
                <w:tab w:val="left" w:pos="90"/>
              </w:tabs>
              <w:autoSpaceDE w:val="0"/>
              <w:autoSpaceDN w:val="0"/>
              <w:adjustRightInd w:val="0"/>
              <w:jc w:val="center"/>
              <w:rPr>
                <w:bCs/>
                <w:color w:val="000000"/>
                <w:lang w:val="uk-UA"/>
              </w:rPr>
            </w:pPr>
            <w:r>
              <w:rPr>
                <w:bCs/>
                <w:color w:val="000000"/>
                <w:lang w:val="uk-UA"/>
              </w:rPr>
              <w:t>16500</w:t>
            </w:r>
          </w:p>
        </w:tc>
      </w:tr>
      <w:tr w:rsidR="00000267" w:rsidRPr="00444B9C" w:rsidTr="005A4C3A">
        <w:tc>
          <w:tcPr>
            <w:tcW w:w="4786" w:type="dxa"/>
          </w:tcPr>
          <w:p w:rsidR="00000267" w:rsidRPr="00444B9C" w:rsidRDefault="00000267" w:rsidP="00DA67E2">
            <w:pPr>
              <w:widowControl w:val="0"/>
              <w:tabs>
                <w:tab w:val="left" w:pos="0"/>
                <w:tab w:val="left" w:pos="90"/>
              </w:tabs>
              <w:autoSpaceDE w:val="0"/>
              <w:autoSpaceDN w:val="0"/>
              <w:adjustRightInd w:val="0"/>
              <w:rPr>
                <w:b/>
                <w:bCs/>
                <w:color w:val="000000"/>
                <w:lang w:val="uk-UA"/>
              </w:rPr>
            </w:pPr>
            <w:r w:rsidRPr="00444B9C">
              <w:rPr>
                <w:color w:val="000000"/>
                <w:lang w:val="uk-UA"/>
              </w:rPr>
              <w:t>Перевищення вартості чистих активів над розміром статутного капіталу</w:t>
            </w:r>
          </w:p>
        </w:tc>
        <w:tc>
          <w:tcPr>
            <w:tcW w:w="2552" w:type="dxa"/>
          </w:tcPr>
          <w:p w:rsidR="00000267" w:rsidRPr="00444B9C" w:rsidRDefault="004C0CD1" w:rsidP="00DA67E2">
            <w:pPr>
              <w:widowControl w:val="0"/>
              <w:tabs>
                <w:tab w:val="left" w:pos="0"/>
                <w:tab w:val="left" w:pos="90"/>
              </w:tabs>
              <w:autoSpaceDE w:val="0"/>
              <w:autoSpaceDN w:val="0"/>
              <w:adjustRightInd w:val="0"/>
              <w:jc w:val="center"/>
              <w:rPr>
                <w:bCs/>
                <w:color w:val="000000"/>
                <w:lang w:val="uk-UA"/>
              </w:rPr>
            </w:pPr>
            <w:r>
              <w:rPr>
                <w:bCs/>
                <w:color w:val="000000"/>
                <w:lang w:val="uk-UA"/>
              </w:rPr>
              <w:t>-10072</w:t>
            </w:r>
          </w:p>
        </w:tc>
        <w:tc>
          <w:tcPr>
            <w:tcW w:w="2409" w:type="dxa"/>
          </w:tcPr>
          <w:p w:rsidR="00000267" w:rsidRPr="00444B9C" w:rsidRDefault="004C0CD1" w:rsidP="00DA67E2">
            <w:pPr>
              <w:widowControl w:val="0"/>
              <w:tabs>
                <w:tab w:val="left" w:pos="0"/>
                <w:tab w:val="left" w:pos="90"/>
              </w:tabs>
              <w:autoSpaceDE w:val="0"/>
              <w:autoSpaceDN w:val="0"/>
              <w:adjustRightInd w:val="0"/>
              <w:jc w:val="center"/>
              <w:rPr>
                <w:bCs/>
                <w:color w:val="000000"/>
                <w:lang w:val="uk-UA"/>
              </w:rPr>
            </w:pPr>
            <w:r>
              <w:rPr>
                <w:bCs/>
                <w:color w:val="000000"/>
                <w:lang w:val="uk-UA"/>
              </w:rPr>
              <w:t>425</w:t>
            </w:r>
          </w:p>
        </w:tc>
      </w:tr>
    </w:tbl>
    <w:p w:rsidR="00D83A01" w:rsidRPr="00444B9C" w:rsidRDefault="00D75CB5" w:rsidP="00DA67E2">
      <w:pPr>
        <w:tabs>
          <w:tab w:val="left" w:pos="0"/>
        </w:tabs>
        <w:jc w:val="both"/>
        <w:rPr>
          <w:lang w:val="uk-UA"/>
        </w:rPr>
      </w:pPr>
      <w:r w:rsidRPr="00444B9C">
        <w:rPr>
          <w:lang w:val="uk-UA"/>
        </w:rPr>
        <w:t xml:space="preserve">Вартість чистих активів Товариства </w:t>
      </w:r>
      <w:r w:rsidR="004C0CD1">
        <w:rPr>
          <w:lang w:val="uk-UA"/>
        </w:rPr>
        <w:t>менша</w:t>
      </w:r>
      <w:r w:rsidR="007217A1" w:rsidRPr="00444B9C">
        <w:rPr>
          <w:lang w:val="uk-UA"/>
        </w:rPr>
        <w:t xml:space="preserve"> за</w:t>
      </w:r>
      <w:r w:rsidRPr="00444B9C">
        <w:rPr>
          <w:lang w:val="uk-UA"/>
        </w:rPr>
        <w:t xml:space="preserve"> статутн</w:t>
      </w:r>
      <w:r w:rsidR="007217A1" w:rsidRPr="00444B9C">
        <w:rPr>
          <w:lang w:val="uk-UA"/>
        </w:rPr>
        <w:t>ий капітал Товариств</w:t>
      </w:r>
      <w:r w:rsidR="00A71718">
        <w:rPr>
          <w:lang w:val="uk-UA"/>
        </w:rPr>
        <w:t>а</w:t>
      </w:r>
      <w:r w:rsidR="004C0CD1">
        <w:rPr>
          <w:lang w:val="uk-UA"/>
        </w:rPr>
        <w:t>, на 10072,0</w:t>
      </w:r>
      <w:r w:rsidR="00A71718">
        <w:rPr>
          <w:lang w:val="uk-UA"/>
        </w:rPr>
        <w:t xml:space="preserve"> </w:t>
      </w:r>
      <w:r w:rsidR="004C0CD1">
        <w:rPr>
          <w:lang w:val="uk-UA"/>
        </w:rPr>
        <w:t>тис.</w:t>
      </w:r>
      <w:r w:rsidR="00A71718">
        <w:rPr>
          <w:lang w:val="uk-UA"/>
        </w:rPr>
        <w:t xml:space="preserve"> </w:t>
      </w:r>
      <w:r w:rsidR="004C0CD1">
        <w:rPr>
          <w:lang w:val="uk-UA"/>
        </w:rPr>
        <w:t>грн.</w:t>
      </w:r>
      <w:r w:rsidRPr="00444B9C">
        <w:rPr>
          <w:lang w:val="uk-UA"/>
        </w:rPr>
        <w:t xml:space="preserve"> Вимоги п. 4 ст.144 Цивільного кодексу України</w:t>
      </w:r>
      <w:r w:rsidR="00000267" w:rsidRPr="00444B9C">
        <w:rPr>
          <w:lang w:val="uk-UA"/>
        </w:rPr>
        <w:t xml:space="preserve"> </w:t>
      </w:r>
      <w:r w:rsidR="004C0CD1">
        <w:rPr>
          <w:lang w:val="uk-UA"/>
        </w:rPr>
        <w:t xml:space="preserve"> не </w:t>
      </w:r>
      <w:r w:rsidRPr="00444B9C">
        <w:rPr>
          <w:lang w:val="uk-UA"/>
        </w:rPr>
        <w:t>дотрим</w:t>
      </w:r>
      <w:r w:rsidR="007217A1" w:rsidRPr="00444B9C">
        <w:rPr>
          <w:lang w:val="uk-UA"/>
        </w:rPr>
        <w:t>ано</w:t>
      </w:r>
      <w:r w:rsidRPr="00444B9C">
        <w:rPr>
          <w:lang w:val="uk-UA"/>
        </w:rPr>
        <w:t>.</w:t>
      </w:r>
    </w:p>
    <w:p w:rsidR="00032DCB" w:rsidRPr="00444B9C" w:rsidRDefault="00032DCB" w:rsidP="00DA67E2">
      <w:pPr>
        <w:tabs>
          <w:tab w:val="left" w:pos="0"/>
        </w:tabs>
        <w:jc w:val="both"/>
        <w:rPr>
          <w:b/>
          <w:u w:val="single"/>
          <w:lang w:val="uk-UA"/>
        </w:rPr>
      </w:pPr>
    </w:p>
    <w:p w:rsidR="00D75CB5" w:rsidRPr="00444B9C" w:rsidRDefault="002D1D78" w:rsidP="00DA67E2">
      <w:pPr>
        <w:tabs>
          <w:tab w:val="left" w:pos="0"/>
        </w:tabs>
        <w:jc w:val="both"/>
        <w:rPr>
          <w:lang w:val="uk-UA"/>
        </w:rPr>
      </w:pPr>
      <w:r>
        <w:rPr>
          <w:b/>
          <w:u w:val="single"/>
          <w:lang w:val="uk-UA"/>
        </w:rPr>
        <w:t xml:space="preserve">Щодо управління </w:t>
      </w:r>
      <w:r w:rsidR="00D75CB5" w:rsidRPr="00444B9C">
        <w:rPr>
          <w:b/>
          <w:u w:val="single"/>
          <w:lang w:val="uk-UA"/>
        </w:rPr>
        <w:t>ризиками</w:t>
      </w:r>
    </w:p>
    <w:p w:rsidR="000D105F" w:rsidRDefault="00D75CB5" w:rsidP="00DA67E2">
      <w:pPr>
        <w:tabs>
          <w:tab w:val="left" w:pos="0"/>
        </w:tabs>
        <w:jc w:val="both"/>
        <w:rPr>
          <w:lang w:val="uk-UA"/>
        </w:rPr>
      </w:pPr>
      <w:r w:rsidRPr="00444B9C">
        <w:rPr>
          <w:lang w:val="uk-UA"/>
        </w:rPr>
        <w:t xml:space="preserve">Керівництво Товариства визнає, що </w:t>
      </w:r>
      <w:r w:rsidR="007A6B91">
        <w:rPr>
          <w:lang w:val="uk-UA"/>
        </w:rPr>
        <w:t xml:space="preserve">його </w:t>
      </w:r>
      <w:r w:rsidRPr="00444B9C">
        <w:rPr>
          <w:lang w:val="uk-UA"/>
        </w:rPr>
        <w:t xml:space="preserve">діяльність пов’язана з ризиками і вартість чистих активів у нестабільному ринковому середовищі може суттєво змінитись унаслідок впливу суб’єктивних та об’єктивних чинників, вірогідність і напрямок впливу яких заздалегідь точно передбачити неможливо. До таких ризиків віднесено ринковий ризик та ризик ліквідності. </w:t>
      </w:r>
    </w:p>
    <w:p w:rsidR="00D75CB5" w:rsidRPr="00444B9C" w:rsidRDefault="000D105F" w:rsidP="00481D1A">
      <w:pPr>
        <w:shd w:val="clear" w:color="auto" w:fill="FFFFFF"/>
        <w:tabs>
          <w:tab w:val="left" w:pos="0"/>
        </w:tabs>
        <w:autoSpaceDE w:val="0"/>
        <w:autoSpaceDN w:val="0"/>
        <w:adjustRightInd w:val="0"/>
        <w:jc w:val="both"/>
        <w:rPr>
          <w:lang w:val="uk-UA"/>
        </w:rPr>
      </w:pPr>
      <w:r w:rsidRPr="00370DB7">
        <w:rPr>
          <w:b/>
          <w:lang w:val="uk-UA"/>
        </w:rPr>
        <w:t>Кредитний ризик</w:t>
      </w:r>
      <w:r w:rsidRPr="006B404A">
        <w:rPr>
          <w:lang w:val="uk-UA"/>
        </w:rPr>
        <w:t xml:space="preserve"> – </w:t>
      </w:r>
      <w:r w:rsidR="00481D1A">
        <w:rPr>
          <w:lang w:val="uk-UA"/>
        </w:rPr>
        <w:t>не впливає на фінансовий стан Товариства, тому,</w:t>
      </w:r>
      <w:r w:rsidR="00CD479E">
        <w:rPr>
          <w:lang w:val="uk-UA"/>
        </w:rPr>
        <w:t xml:space="preserve"> </w:t>
      </w:r>
      <w:r w:rsidR="00481D1A">
        <w:rPr>
          <w:lang w:val="uk-UA"/>
        </w:rPr>
        <w:t>що не залучаються кредитні кошти.</w:t>
      </w:r>
      <w:r w:rsidRPr="006B404A">
        <w:rPr>
          <w:lang w:val="uk-UA"/>
        </w:rPr>
        <w:t xml:space="preserve"> </w:t>
      </w:r>
    </w:p>
    <w:p w:rsidR="00D75CB5" w:rsidRPr="00444B9C" w:rsidRDefault="00D75CB5" w:rsidP="00DA67E2">
      <w:pPr>
        <w:shd w:val="clear" w:color="auto" w:fill="FFFFFF"/>
        <w:tabs>
          <w:tab w:val="left" w:pos="0"/>
        </w:tabs>
        <w:autoSpaceDE w:val="0"/>
        <w:autoSpaceDN w:val="0"/>
        <w:adjustRightInd w:val="0"/>
        <w:jc w:val="both"/>
        <w:rPr>
          <w:lang w:val="uk-UA"/>
        </w:rPr>
      </w:pPr>
      <w:r w:rsidRPr="00370DB7">
        <w:rPr>
          <w:b/>
          <w:lang w:val="uk-UA"/>
        </w:rPr>
        <w:t>Ринковий ризик</w:t>
      </w:r>
      <w:r w:rsidRPr="00444B9C">
        <w:rPr>
          <w:lang w:val="uk-UA"/>
        </w:rPr>
        <w:t xml:space="preserve"> – це ризик того, що справедлива вартість або майбутні грошові потоки від фінансового інструмента коливатимуться внаслідок змін ринкових цін. Ринковий ризик охоплює три типи ризику: інший ціновий ризик, валютний ризик та відсотковий ризик. Ринковий ризик виникає у зв’язку з ризиками збитків, зумовлених коливаннями цін, відсоткових ставок та валютних курсів. Товариство наражатиметься на ринкові ризики у </w:t>
      </w:r>
      <w:r w:rsidR="00D83A01" w:rsidRPr="00444B9C">
        <w:rPr>
          <w:lang w:val="uk-UA"/>
        </w:rPr>
        <w:t>своїй</w:t>
      </w:r>
      <w:r w:rsidRPr="00444B9C">
        <w:rPr>
          <w:lang w:val="uk-UA"/>
        </w:rPr>
        <w:t xml:space="preserve"> </w:t>
      </w:r>
      <w:r w:rsidR="00D83A01" w:rsidRPr="00444B9C">
        <w:rPr>
          <w:lang w:val="uk-UA"/>
        </w:rPr>
        <w:t>інвестиці</w:t>
      </w:r>
      <w:r w:rsidR="000D105F">
        <w:rPr>
          <w:lang w:val="uk-UA"/>
        </w:rPr>
        <w:t xml:space="preserve">йній </w:t>
      </w:r>
      <w:r w:rsidR="00D83A01" w:rsidRPr="00444B9C">
        <w:rPr>
          <w:lang w:val="uk-UA"/>
        </w:rPr>
        <w:t>діяльності.</w:t>
      </w:r>
    </w:p>
    <w:p w:rsidR="00D75CB5" w:rsidRPr="00444B9C" w:rsidRDefault="00D75CB5" w:rsidP="00DA67E2">
      <w:pPr>
        <w:shd w:val="clear" w:color="auto" w:fill="FFFFFF"/>
        <w:tabs>
          <w:tab w:val="left" w:pos="0"/>
        </w:tabs>
        <w:autoSpaceDE w:val="0"/>
        <w:autoSpaceDN w:val="0"/>
        <w:adjustRightInd w:val="0"/>
        <w:jc w:val="both"/>
        <w:rPr>
          <w:lang w:val="uk-UA"/>
        </w:rPr>
      </w:pPr>
      <w:r w:rsidRPr="00444B9C">
        <w:rPr>
          <w:lang w:val="uk-UA"/>
        </w:rPr>
        <w:t>Інший ціновий ризик – це ризик того, що справедлива вартість або майбутні грошові потоки від фінансового інструмента коливатимуться внаслідок змін ринкових цін (окрім тих, що виникають унаслідок відсоткового ризику чи валютного ризику), незалежно від того, чи спричинені вони чинниками, характерними для окремого фінансового інструмента або його емітента, чи чинниками, що впливають на всі подібні фінансові інструменти, з якими здійснюються операції на ринку.</w:t>
      </w:r>
    </w:p>
    <w:p w:rsidR="00D75CB5" w:rsidRPr="00444B9C" w:rsidRDefault="0047711E" w:rsidP="00DA67E2">
      <w:pPr>
        <w:shd w:val="clear" w:color="auto" w:fill="FFFFFF"/>
        <w:tabs>
          <w:tab w:val="left" w:pos="0"/>
        </w:tabs>
        <w:autoSpaceDE w:val="0"/>
        <w:autoSpaceDN w:val="0"/>
        <w:adjustRightInd w:val="0"/>
        <w:jc w:val="both"/>
        <w:rPr>
          <w:lang w:val="uk-UA"/>
        </w:rPr>
      </w:pPr>
      <w:r w:rsidRPr="00444B9C">
        <w:rPr>
          <w:lang w:val="uk-UA"/>
        </w:rPr>
        <w:t>Валютний ризик має непрямий та несуттєвий вплив на активи Товариства, яке не здійснює операцій в валюті.</w:t>
      </w:r>
    </w:p>
    <w:p w:rsidR="00D75CB5" w:rsidRPr="00444B9C" w:rsidRDefault="00D75CB5" w:rsidP="00DA67E2">
      <w:pPr>
        <w:shd w:val="clear" w:color="auto" w:fill="FFFFFF"/>
        <w:tabs>
          <w:tab w:val="left" w:pos="0"/>
        </w:tabs>
        <w:autoSpaceDE w:val="0"/>
        <w:autoSpaceDN w:val="0"/>
        <w:adjustRightInd w:val="0"/>
        <w:jc w:val="both"/>
        <w:rPr>
          <w:lang w:val="uk-UA"/>
        </w:rPr>
      </w:pPr>
      <w:r w:rsidRPr="00444B9C">
        <w:rPr>
          <w:lang w:val="uk-UA"/>
        </w:rPr>
        <w:t xml:space="preserve">Відсотковий ризик – </w:t>
      </w:r>
      <w:r w:rsidR="00481D1A">
        <w:rPr>
          <w:lang w:val="uk-UA"/>
        </w:rPr>
        <w:t>не існує , так  як Товариство не кредитується.</w:t>
      </w:r>
    </w:p>
    <w:p w:rsidR="00D75CB5" w:rsidRPr="00444B9C" w:rsidRDefault="0047711E" w:rsidP="00DA67E2">
      <w:pPr>
        <w:shd w:val="clear" w:color="auto" w:fill="FFFFFF"/>
        <w:tabs>
          <w:tab w:val="left" w:pos="0"/>
        </w:tabs>
        <w:autoSpaceDE w:val="0"/>
        <w:autoSpaceDN w:val="0"/>
        <w:adjustRightInd w:val="0"/>
        <w:jc w:val="both"/>
        <w:rPr>
          <w:lang w:val="uk-UA"/>
        </w:rPr>
      </w:pPr>
      <w:r w:rsidRPr="00444B9C">
        <w:rPr>
          <w:lang w:val="uk-UA"/>
        </w:rPr>
        <w:t>Товариства</w:t>
      </w:r>
      <w:r w:rsidR="00D75CB5" w:rsidRPr="00444B9C">
        <w:rPr>
          <w:lang w:val="uk-UA"/>
        </w:rPr>
        <w:t xml:space="preserve"> контролює частку активів, розміщених у </w:t>
      </w:r>
      <w:r w:rsidR="007A6B91">
        <w:rPr>
          <w:lang w:val="uk-UA"/>
        </w:rPr>
        <w:t>фінансових активах</w:t>
      </w:r>
      <w:r w:rsidR="00D75CB5" w:rsidRPr="00444B9C">
        <w:rPr>
          <w:lang w:val="uk-UA"/>
        </w:rPr>
        <w:t xml:space="preserve"> у національній валюті. </w:t>
      </w:r>
    </w:p>
    <w:p w:rsidR="000D105F" w:rsidRDefault="000D105F" w:rsidP="000D105F">
      <w:pPr>
        <w:shd w:val="clear" w:color="auto" w:fill="FFFFFF"/>
        <w:tabs>
          <w:tab w:val="left" w:pos="0"/>
        </w:tabs>
        <w:autoSpaceDE w:val="0"/>
        <w:autoSpaceDN w:val="0"/>
        <w:adjustRightInd w:val="0"/>
        <w:jc w:val="both"/>
        <w:rPr>
          <w:lang w:val="uk-UA"/>
        </w:rPr>
      </w:pPr>
      <w:r w:rsidRPr="006B404A">
        <w:rPr>
          <w:lang w:val="uk-UA"/>
        </w:rPr>
        <w:t>Ризик ліквідності – ризик того, що Товариство матиме труднощі при виконанні зобов’язань, пов’язаних із фінансовими зобов’язаннями, що погашаються шляхом поставки грошових коштів або іншого фінансового активу.</w:t>
      </w:r>
    </w:p>
    <w:p w:rsidR="000D105F" w:rsidRPr="006B404A" w:rsidRDefault="000D105F" w:rsidP="000D105F">
      <w:pPr>
        <w:shd w:val="clear" w:color="auto" w:fill="FFFFFF"/>
        <w:tabs>
          <w:tab w:val="left" w:pos="0"/>
        </w:tabs>
        <w:autoSpaceDE w:val="0"/>
        <w:autoSpaceDN w:val="0"/>
        <w:adjustRightInd w:val="0"/>
        <w:jc w:val="both"/>
        <w:rPr>
          <w:lang w:val="uk-UA"/>
        </w:rPr>
      </w:pPr>
      <w:r>
        <w:rPr>
          <w:lang w:val="uk-UA"/>
        </w:rPr>
        <w:t>На даний час цей ризик не є актуальним для Товариства. Фінансування господарської діяльності здійснюється за рахунок власних коштів.</w:t>
      </w:r>
    </w:p>
    <w:p w:rsidR="00D75CB5" w:rsidRPr="00444B9C" w:rsidRDefault="00D75CB5" w:rsidP="00DA67E2">
      <w:pPr>
        <w:shd w:val="clear" w:color="auto" w:fill="FFFFFF"/>
        <w:tabs>
          <w:tab w:val="left" w:pos="0"/>
        </w:tabs>
        <w:autoSpaceDE w:val="0"/>
        <w:autoSpaceDN w:val="0"/>
        <w:adjustRightInd w:val="0"/>
        <w:jc w:val="both"/>
        <w:rPr>
          <w:lang w:val="uk-UA"/>
        </w:rPr>
      </w:pPr>
      <w:r w:rsidRPr="00444B9C">
        <w:rPr>
          <w:lang w:val="uk-UA"/>
        </w:rPr>
        <w:t>Товариство здійснює управління капіталом з метою досягнення наступних цілей:</w:t>
      </w:r>
    </w:p>
    <w:p w:rsidR="00D75CB5" w:rsidRPr="00444B9C" w:rsidRDefault="00D75CB5" w:rsidP="002F3AD3">
      <w:pPr>
        <w:numPr>
          <w:ilvl w:val="0"/>
          <w:numId w:val="8"/>
        </w:numPr>
        <w:shd w:val="clear" w:color="auto" w:fill="FFFFFF"/>
        <w:tabs>
          <w:tab w:val="left" w:pos="0"/>
          <w:tab w:val="left" w:pos="709"/>
        </w:tabs>
        <w:autoSpaceDE w:val="0"/>
        <w:autoSpaceDN w:val="0"/>
        <w:adjustRightInd w:val="0"/>
        <w:jc w:val="both"/>
        <w:rPr>
          <w:lang w:val="uk-UA"/>
        </w:rPr>
      </w:pPr>
      <w:r w:rsidRPr="00444B9C">
        <w:rPr>
          <w:lang w:val="uk-UA"/>
        </w:rPr>
        <w:t>зберегти спроможність Товариства продовжувати свою діяльність так, щоб воно і надалі забезпечувало дохід для учасників Товариства та виплати іншим зацікавленим сторонам;</w:t>
      </w:r>
    </w:p>
    <w:p w:rsidR="00D75CB5" w:rsidRPr="00444B9C" w:rsidRDefault="00D75CB5" w:rsidP="002F3AD3">
      <w:pPr>
        <w:numPr>
          <w:ilvl w:val="0"/>
          <w:numId w:val="8"/>
        </w:numPr>
        <w:shd w:val="clear" w:color="auto" w:fill="FFFFFF"/>
        <w:tabs>
          <w:tab w:val="left" w:pos="0"/>
          <w:tab w:val="left" w:pos="709"/>
        </w:tabs>
        <w:autoSpaceDE w:val="0"/>
        <w:autoSpaceDN w:val="0"/>
        <w:adjustRightInd w:val="0"/>
        <w:jc w:val="both"/>
        <w:rPr>
          <w:lang w:val="uk-UA"/>
        </w:rPr>
      </w:pPr>
      <w:r w:rsidRPr="00444B9C">
        <w:rPr>
          <w:lang w:val="uk-UA"/>
        </w:rPr>
        <w:t>забезпечити належний прибуток учасникам товариства завдяки встановленню цін на послуги Товариства, що відповідають рівню ризику.</w:t>
      </w:r>
    </w:p>
    <w:p w:rsidR="005E0776" w:rsidRPr="00444B9C" w:rsidRDefault="00D75CB5" w:rsidP="005E0776">
      <w:pPr>
        <w:numPr>
          <w:ilvl w:val="0"/>
          <w:numId w:val="8"/>
        </w:numPr>
        <w:shd w:val="clear" w:color="auto" w:fill="FFFFFF"/>
        <w:tabs>
          <w:tab w:val="left" w:pos="0"/>
          <w:tab w:val="left" w:pos="709"/>
        </w:tabs>
        <w:autoSpaceDE w:val="0"/>
        <w:autoSpaceDN w:val="0"/>
        <w:adjustRightInd w:val="0"/>
        <w:jc w:val="both"/>
        <w:rPr>
          <w:lang w:val="uk-UA"/>
        </w:rPr>
      </w:pPr>
      <w:r w:rsidRPr="00444B9C">
        <w:rPr>
          <w:lang w:val="uk-UA"/>
        </w:rPr>
        <w:t xml:space="preserve">Керівництво Товариства здійснює огляд структури капіталу на щорічній основі. При цьому керівництво аналізує вартість капіталу та притаманні його складовим ризики. На основі отриманих висновків Товариство здійснює регулювання капіталу шляхом </w:t>
      </w:r>
      <w:r w:rsidRPr="00444B9C">
        <w:rPr>
          <w:lang w:val="uk-UA"/>
        </w:rPr>
        <w:lastRenderedPageBreak/>
        <w:t>залучення додаткового капіталу або фінансування, а також виплати дивідендів та погашення існуючих позик</w:t>
      </w:r>
    </w:p>
    <w:p w:rsidR="00BD7F4C" w:rsidRPr="00444B9C" w:rsidRDefault="00BD7F4C" w:rsidP="00DA67E2">
      <w:pPr>
        <w:tabs>
          <w:tab w:val="left" w:pos="0"/>
        </w:tabs>
        <w:jc w:val="both"/>
        <w:rPr>
          <w:b/>
          <w:u w:val="single"/>
          <w:lang w:val="uk-UA"/>
        </w:rPr>
      </w:pPr>
    </w:p>
    <w:p w:rsidR="00D75CB5" w:rsidRPr="00444B9C" w:rsidRDefault="00D75CB5" w:rsidP="00DA67E2">
      <w:pPr>
        <w:tabs>
          <w:tab w:val="left" w:pos="0"/>
        </w:tabs>
        <w:jc w:val="both"/>
        <w:rPr>
          <w:b/>
          <w:u w:val="single"/>
          <w:lang w:val="uk-UA"/>
        </w:rPr>
      </w:pPr>
      <w:r w:rsidRPr="00444B9C">
        <w:rPr>
          <w:b/>
          <w:u w:val="single"/>
          <w:lang w:val="uk-UA"/>
        </w:rPr>
        <w:t xml:space="preserve">Щодо </w:t>
      </w:r>
      <w:r w:rsidR="002D1D78">
        <w:rPr>
          <w:b/>
          <w:u w:val="single"/>
          <w:lang w:val="uk-UA"/>
        </w:rPr>
        <w:t xml:space="preserve">системи </w:t>
      </w:r>
      <w:r w:rsidRPr="00444B9C">
        <w:rPr>
          <w:b/>
          <w:u w:val="single"/>
          <w:lang w:val="uk-UA"/>
        </w:rPr>
        <w:t xml:space="preserve">внутрішнього аудиту (контролю) </w:t>
      </w:r>
      <w:r w:rsidR="002D1D78">
        <w:rPr>
          <w:b/>
          <w:u w:val="single"/>
          <w:lang w:val="uk-UA"/>
        </w:rPr>
        <w:t>Товариства</w:t>
      </w:r>
    </w:p>
    <w:p w:rsidR="00D75CB5" w:rsidRPr="00444B9C" w:rsidRDefault="00D75CB5" w:rsidP="002F3AD3">
      <w:pPr>
        <w:tabs>
          <w:tab w:val="left" w:pos="0"/>
        </w:tabs>
        <w:jc w:val="both"/>
        <w:rPr>
          <w:lang w:val="uk-UA"/>
        </w:rPr>
      </w:pPr>
      <w:r w:rsidRPr="00444B9C">
        <w:rPr>
          <w:lang w:val="uk-UA" w:eastAsia="uk-UA"/>
        </w:rPr>
        <w:t xml:space="preserve">На нашу думку, протягом 2016 року </w:t>
      </w:r>
      <w:r w:rsidRPr="00444B9C">
        <w:rPr>
          <w:lang w:val="uk-UA"/>
        </w:rPr>
        <w:t>Товариство у своїй діяльності дотримувалось принципів корпоративного управління, які визначені в Статуті</w:t>
      </w:r>
      <w:r w:rsidR="007A6B91">
        <w:rPr>
          <w:lang w:val="uk-UA"/>
        </w:rPr>
        <w:t>.</w:t>
      </w:r>
      <w:r w:rsidRPr="00444B9C">
        <w:rPr>
          <w:lang w:val="uk-UA"/>
        </w:rPr>
        <w:t xml:space="preserve"> </w:t>
      </w:r>
      <w:r w:rsidR="002D1D78">
        <w:rPr>
          <w:lang w:val="uk-UA"/>
        </w:rPr>
        <w:t xml:space="preserve">Товариство </w:t>
      </w:r>
      <w:r w:rsidRPr="00444B9C">
        <w:rPr>
          <w:lang w:val="uk-UA"/>
        </w:rPr>
        <w:t xml:space="preserve">щорічно звітує про результати </w:t>
      </w:r>
      <w:r w:rsidR="002D1D78">
        <w:rPr>
          <w:lang w:val="uk-UA"/>
        </w:rPr>
        <w:t xml:space="preserve">своєї </w:t>
      </w:r>
      <w:r w:rsidRPr="00444B9C">
        <w:rPr>
          <w:lang w:val="uk-UA"/>
        </w:rPr>
        <w:t>фінансово-господарської діяльності на Загальних Зборах учасників</w:t>
      </w:r>
      <w:r w:rsidR="002D1D78">
        <w:rPr>
          <w:lang w:val="uk-UA"/>
        </w:rPr>
        <w:t xml:space="preserve"> та</w:t>
      </w:r>
      <w:r w:rsidRPr="00444B9C">
        <w:rPr>
          <w:lang w:val="uk-UA"/>
        </w:rPr>
        <w:t xml:space="preserve"> </w:t>
      </w:r>
      <w:r w:rsidR="002D1D78">
        <w:rPr>
          <w:lang w:val="uk-UA"/>
        </w:rPr>
        <w:t>оприлюднює річну звітність.</w:t>
      </w:r>
      <w:r w:rsidRPr="00444B9C">
        <w:rPr>
          <w:lang w:val="uk-UA"/>
        </w:rPr>
        <w:t xml:space="preserve">. </w:t>
      </w:r>
    </w:p>
    <w:p w:rsidR="00D75CB5" w:rsidRPr="00444B9C" w:rsidRDefault="00D75CB5" w:rsidP="002F3AD3">
      <w:pPr>
        <w:tabs>
          <w:tab w:val="left" w:pos="0"/>
        </w:tabs>
        <w:jc w:val="both"/>
        <w:rPr>
          <w:lang w:val="uk-UA"/>
        </w:rPr>
      </w:pPr>
      <w:r w:rsidRPr="00444B9C">
        <w:rPr>
          <w:lang w:val="uk-UA" w:eastAsia="uk-UA"/>
        </w:rPr>
        <w:t xml:space="preserve">Протягом 2016 року </w:t>
      </w:r>
      <w:r w:rsidR="002F3AD3" w:rsidRPr="00444B9C">
        <w:rPr>
          <w:lang w:val="uk-UA"/>
        </w:rPr>
        <w:t>факти відхи</w:t>
      </w:r>
      <w:r w:rsidRPr="00444B9C">
        <w:rPr>
          <w:lang w:val="uk-UA"/>
        </w:rPr>
        <w:t xml:space="preserve">лення від принципів корпоративного управління відсутні. </w:t>
      </w:r>
    </w:p>
    <w:p w:rsidR="00D75CB5" w:rsidRPr="0081776C" w:rsidRDefault="00D75CB5" w:rsidP="002F3AD3">
      <w:pPr>
        <w:tabs>
          <w:tab w:val="left" w:pos="0"/>
        </w:tabs>
        <w:jc w:val="both"/>
        <w:rPr>
          <w:lang w:val="uk-UA"/>
        </w:rPr>
      </w:pPr>
      <w:r w:rsidRPr="0081776C">
        <w:rPr>
          <w:lang w:val="uk-UA"/>
        </w:rPr>
        <w:t>Протягом 2016 року факти порушення внутрішніх правил учасниками Товариства та виконавчого органу фінансової установи, що призвело до заподіяння шкоди фінансовій установі або споживачам фінансових послуг, відсутні.</w:t>
      </w:r>
    </w:p>
    <w:p w:rsidR="00D75CB5" w:rsidRPr="0081776C" w:rsidRDefault="003B0B14" w:rsidP="002F3AD3">
      <w:pPr>
        <w:tabs>
          <w:tab w:val="left" w:pos="0"/>
        </w:tabs>
        <w:jc w:val="both"/>
        <w:rPr>
          <w:lang w:val="uk-UA"/>
        </w:rPr>
      </w:pPr>
      <w:r w:rsidRPr="0081776C">
        <w:rPr>
          <w:lang w:val="uk-UA"/>
        </w:rPr>
        <w:t>Скарги протягом 2016 року</w:t>
      </w:r>
      <w:r w:rsidR="00D75CB5" w:rsidRPr="0081776C">
        <w:rPr>
          <w:lang w:val="uk-UA"/>
        </w:rPr>
        <w:t xml:space="preserve"> стосовно надання фінансових послуг Товариством не надходили. </w:t>
      </w:r>
    </w:p>
    <w:p w:rsidR="00D75CB5" w:rsidRPr="0081776C" w:rsidRDefault="00D75CB5" w:rsidP="002F3AD3">
      <w:pPr>
        <w:tabs>
          <w:tab w:val="left" w:pos="0"/>
        </w:tabs>
        <w:jc w:val="both"/>
        <w:rPr>
          <w:lang w:val="uk-UA"/>
        </w:rPr>
      </w:pPr>
      <w:r w:rsidRPr="0081776C">
        <w:rPr>
          <w:lang w:val="uk-UA"/>
        </w:rPr>
        <w:t>У 2016 р</w:t>
      </w:r>
      <w:r w:rsidR="003B0B14" w:rsidRPr="0081776C">
        <w:rPr>
          <w:lang w:val="uk-UA"/>
        </w:rPr>
        <w:t xml:space="preserve">оці </w:t>
      </w:r>
      <w:r w:rsidRPr="0081776C">
        <w:rPr>
          <w:lang w:val="uk-UA"/>
        </w:rPr>
        <w:t>позови до Товариства</w:t>
      </w:r>
      <w:r w:rsidRPr="0081776C">
        <w:rPr>
          <w:bCs/>
          <w:lang w:val="uk-UA"/>
        </w:rPr>
        <w:t xml:space="preserve">  </w:t>
      </w:r>
      <w:r w:rsidRPr="0081776C">
        <w:rPr>
          <w:lang w:val="uk-UA"/>
        </w:rPr>
        <w:t xml:space="preserve">стосовно наданих фінансових послуг відсутні. </w:t>
      </w:r>
    </w:p>
    <w:p w:rsidR="00D75CB5" w:rsidRPr="003C6BB2" w:rsidRDefault="00D75CB5" w:rsidP="00DA67E2">
      <w:pPr>
        <w:tabs>
          <w:tab w:val="left" w:pos="0"/>
          <w:tab w:val="left" w:pos="900"/>
        </w:tabs>
        <w:jc w:val="both"/>
        <w:rPr>
          <w:lang w:val="uk-UA"/>
        </w:rPr>
      </w:pPr>
      <w:r w:rsidRPr="0081776C">
        <w:rPr>
          <w:lang w:val="uk-UA"/>
        </w:rPr>
        <w:t>Заходи впливу протягом 2016 року органами державної влади до Товариства, в тому числі до учасників Товариства  та виконавчого органу, не застосовувалися</w:t>
      </w:r>
      <w:r w:rsidRPr="003C6BB2">
        <w:rPr>
          <w:lang w:val="uk-UA"/>
        </w:rPr>
        <w:t>.</w:t>
      </w:r>
    </w:p>
    <w:p w:rsidR="00346464" w:rsidRPr="00CD479E" w:rsidRDefault="00346464" w:rsidP="00CF67E9">
      <w:pPr>
        <w:tabs>
          <w:tab w:val="left" w:pos="0"/>
        </w:tabs>
        <w:jc w:val="both"/>
        <w:rPr>
          <w:lang w:val="uk-UA"/>
        </w:rPr>
      </w:pPr>
      <w:r w:rsidRPr="00CD479E">
        <w:rPr>
          <w:lang w:val="uk-UA"/>
        </w:rPr>
        <w:t>Загальними зборами Товариства від 04.01.2016</w:t>
      </w:r>
      <w:r w:rsidR="00CD479E" w:rsidRPr="00CD479E">
        <w:rPr>
          <w:lang w:val="uk-UA"/>
        </w:rPr>
        <w:t xml:space="preserve"> </w:t>
      </w:r>
      <w:r w:rsidRPr="00CD479E">
        <w:rPr>
          <w:lang w:val="uk-UA"/>
        </w:rPr>
        <w:t>року  Протокол</w:t>
      </w:r>
      <w:r w:rsidR="00CD479E" w:rsidRPr="00CD479E">
        <w:rPr>
          <w:lang w:val="uk-UA"/>
        </w:rPr>
        <w:t>ом</w:t>
      </w:r>
      <w:r w:rsidRPr="00CD479E">
        <w:rPr>
          <w:lang w:val="uk-UA"/>
        </w:rPr>
        <w:t xml:space="preserve"> №04/01</w:t>
      </w:r>
      <w:r w:rsidR="00CD479E" w:rsidRPr="00CD479E">
        <w:rPr>
          <w:lang w:val="uk-UA"/>
        </w:rPr>
        <w:t xml:space="preserve"> </w:t>
      </w:r>
      <w:r w:rsidRPr="00CD479E">
        <w:rPr>
          <w:lang w:val="uk-UA"/>
        </w:rPr>
        <w:t>затверджено  Положення про службу внутрішнього аудиту, Положення про систему внутрішнього аудиту.</w:t>
      </w:r>
    </w:p>
    <w:p w:rsidR="00CF67E9" w:rsidRPr="00444B9C" w:rsidRDefault="00CF67E9" w:rsidP="00CF67E9">
      <w:pPr>
        <w:tabs>
          <w:tab w:val="left" w:pos="0"/>
        </w:tabs>
        <w:jc w:val="both"/>
        <w:rPr>
          <w:lang w:val="uk-UA"/>
        </w:rPr>
      </w:pPr>
      <w:r w:rsidRPr="00CD479E">
        <w:rPr>
          <w:lang w:val="uk-UA"/>
        </w:rPr>
        <w:t>Посад</w:t>
      </w:r>
      <w:r w:rsidR="00CD479E" w:rsidRPr="00CD479E">
        <w:rPr>
          <w:lang w:val="uk-UA"/>
        </w:rPr>
        <w:t>а</w:t>
      </w:r>
      <w:r w:rsidRPr="00CD479E">
        <w:rPr>
          <w:lang w:val="uk-UA"/>
        </w:rPr>
        <w:t xml:space="preserve"> </w:t>
      </w:r>
      <w:r w:rsidR="00370DB7" w:rsidRPr="00CD479E">
        <w:rPr>
          <w:lang w:val="uk-UA"/>
        </w:rPr>
        <w:t>внутрішнього аудитора</w:t>
      </w:r>
      <w:r w:rsidRPr="00CD479E">
        <w:rPr>
          <w:lang w:val="uk-UA"/>
        </w:rPr>
        <w:t xml:space="preserve"> Товариства </w:t>
      </w:r>
      <w:r w:rsidR="00481D1A" w:rsidRPr="00CD479E">
        <w:rPr>
          <w:lang w:val="uk-UA"/>
        </w:rPr>
        <w:t>вакантна</w:t>
      </w:r>
      <w:r w:rsidR="00370DB7" w:rsidRPr="00CD479E">
        <w:rPr>
          <w:lang w:val="uk-UA"/>
        </w:rPr>
        <w:t>.</w:t>
      </w:r>
    </w:p>
    <w:p w:rsidR="00D75CB5" w:rsidRPr="00444B9C" w:rsidRDefault="00D75CB5" w:rsidP="00DA67E2">
      <w:pPr>
        <w:shd w:val="clear" w:color="auto" w:fill="FFFFFF"/>
        <w:tabs>
          <w:tab w:val="left" w:pos="0"/>
        </w:tabs>
        <w:jc w:val="both"/>
        <w:rPr>
          <w:lang w:val="uk-UA"/>
        </w:rPr>
      </w:pPr>
      <w:r w:rsidRPr="00444B9C">
        <w:rPr>
          <w:lang w:val="uk-UA"/>
        </w:rPr>
        <w:t>За підсумками року та необхідністю підтвердження річної фінансової звітності проводиться зовнішній аудит.</w:t>
      </w:r>
    </w:p>
    <w:p w:rsidR="00D75CB5" w:rsidRPr="00444B9C" w:rsidRDefault="00D75CB5" w:rsidP="00DA67E2">
      <w:pPr>
        <w:shd w:val="clear" w:color="auto" w:fill="FFFFFF"/>
        <w:tabs>
          <w:tab w:val="left" w:pos="0"/>
        </w:tabs>
        <w:jc w:val="both"/>
        <w:rPr>
          <w:lang w:val="uk-UA"/>
        </w:rPr>
      </w:pPr>
      <w:r w:rsidRPr="00444B9C">
        <w:rPr>
          <w:lang w:val="uk-UA"/>
        </w:rPr>
        <w:t xml:space="preserve">За результатами виконаних процедур перевірки стану корпоративного управління, у тому числі системи внутрішнього контролю, відповідно до Закону України </w:t>
      </w:r>
      <w:r w:rsidRPr="00444B9C">
        <w:rPr>
          <w:lang w:val="uk-UA" w:eastAsia="uk-UA"/>
        </w:rPr>
        <w:t>“</w:t>
      </w:r>
      <w:r w:rsidRPr="00444B9C">
        <w:rPr>
          <w:lang w:val="uk-UA"/>
        </w:rPr>
        <w:t>Про господарські товариства”, були отри</w:t>
      </w:r>
      <w:r w:rsidRPr="00444B9C">
        <w:rPr>
          <w:spacing w:val="-2"/>
          <w:lang w:val="uk-UA"/>
        </w:rPr>
        <w:t>манні докази, які дозволяють нам сформувати су</w:t>
      </w:r>
      <w:r w:rsidRPr="00444B9C">
        <w:rPr>
          <w:lang w:val="uk-UA"/>
        </w:rPr>
        <w:t xml:space="preserve">дження, що прийнята та функціонуюча система корпоративного управління у Товаристві відповідає вимогам Статуту та вимогам Закону України “Про господарські товариства”. </w:t>
      </w:r>
    </w:p>
    <w:p w:rsidR="005A4C3A" w:rsidRPr="00444B9C" w:rsidRDefault="005A4C3A" w:rsidP="005A4C3A">
      <w:pPr>
        <w:shd w:val="clear" w:color="auto" w:fill="FFFFFF"/>
        <w:tabs>
          <w:tab w:val="left" w:pos="0"/>
          <w:tab w:val="left" w:pos="709"/>
        </w:tabs>
        <w:autoSpaceDE w:val="0"/>
        <w:autoSpaceDN w:val="0"/>
        <w:adjustRightInd w:val="0"/>
        <w:jc w:val="both"/>
        <w:rPr>
          <w:lang w:val="uk-UA"/>
        </w:rPr>
      </w:pPr>
      <w:r w:rsidRPr="00444B9C">
        <w:rPr>
          <w:lang w:val="uk-UA"/>
        </w:rPr>
        <w:t>Аудиторами проведено розрахунок основних фінансових показників – ліквідності, фінансової стійкості та прибутковості (рентабельності)</w:t>
      </w:r>
      <w:r w:rsidR="00CD479E">
        <w:rPr>
          <w:lang w:val="uk-UA"/>
        </w:rPr>
        <w:t>.</w:t>
      </w:r>
    </w:p>
    <w:p w:rsidR="00571491" w:rsidRDefault="00571491" w:rsidP="00DA67E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u w:val="single"/>
          <w:lang w:val="uk-UA"/>
        </w:rPr>
      </w:pPr>
    </w:p>
    <w:p w:rsidR="00571491" w:rsidRDefault="00571491" w:rsidP="00DA67E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u w:val="single"/>
          <w:lang w:val="uk-UA"/>
        </w:rPr>
      </w:pPr>
      <w:r w:rsidRPr="00571491">
        <w:rPr>
          <w:b/>
          <w:iCs/>
          <w:u w:val="single"/>
          <w:lang w:val="uk-UA"/>
        </w:rPr>
        <w:t>Щодо операцій із пов’язаними особами</w:t>
      </w:r>
    </w:p>
    <w:p w:rsidR="00571491" w:rsidRPr="00571491" w:rsidRDefault="00571491" w:rsidP="00DA67E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lang w:val="uk-UA"/>
        </w:rPr>
      </w:pPr>
      <w:r w:rsidRPr="0081776C">
        <w:rPr>
          <w:iCs/>
          <w:lang w:val="uk-UA"/>
        </w:rPr>
        <w:t>Протягом 2016 року нестандартних операцій з пов’язаними особами не проводилось.</w:t>
      </w:r>
      <w:r>
        <w:rPr>
          <w:iCs/>
          <w:lang w:val="uk-UA"/>
        </w:rPr>
        <w:t xml:space="preserve"> </w:t>
      </w:r>
    </w:p>
    <w:p w:rsidR="00E041CA" w:rsidRDefault="00E041CA" w:rsidP="00DA67E2">
      <w:pPr>
        <w:tabs>
          <w:tab w:val="left" w:pos="0"/>
        </w:tabs>
        <w:jc w:val="both"/>
        <w:rPr>
          <w:iCs/>
          <w:lang w:val="uk-UA"/>
        </w:rPr>
      </w:pPr>
    </w:p>
    <w:p w:rsidR="00BE2132" w:rsidRPr="00444B9C" w:rsidRDefault="00475EA0" w:rsidP="00DA67E2">
      <w:pPr>
        <w:tabs>
          <w:tab w:val="left" w:pos="0"/>
        </w:tabs>
        <w:jc w:val="both"/>
        <w:rPr>
          <w:b/>
          <w:lang w:val="uk-UA"/>
        </w:rPr>
      </w:pPr>
      <w:r w:rsidRPr="00444B9C">
        <w:rPr>
          <w:b/>
          <w:iCs/>
          <w:lang w:val="uk-UA"/>
        </w:rPr>
        <w:t>2.4.</w:t>
      </w:r>
      <w:r w:rsidR="00BE2132" w:rsidRPr="00444B9C">
        <w:rPr>
          <w:b/>
          <w:lang w:val="uk-UA"/>
        </w:rPr>
        <w:t xml:space="preserve"> Розкриття </w:t>
      </w:r>
      <w:r w:rsidR="00A61F6A" w:rsidRPr="00444B9C">
        <w:rPr>
          <w:b/>
          <w:lang w:val="uk-UA"/>
        </w:rPr>
        <w:t xml:space="preserve">інформації </w:t>
      </w:r>
      <w:r w:rsidR="00BE2132" w:rsidRPr="00444B9C">
        <w:rPr>
          <w:b/>
          <w:lang w:val="uk-UA"/>
        </w:rPr>
        <w:t>фінансової  звітності.</w:t>
      </w:r>
    </w:p>
    <w:p w:rsidR="002D1D78" w:rsidRDefault="002D1D78" w:rsidP="00DA67E2">
      <w:pPr>
        <w:tabs>
          <w:tab w:val="left" w:pos="0"/>
        </w:tabs>
        <w:jc w:val="both"/>
        <w:rPr>
          <w:color w:val="000000"/>
          <w:lang w:val="uk-UA"/>
        </w:rPr>
      </w:pPr>
    </w:p>
    <w:p w:rsidR="00DB2E50" w:rsidRPr="00444B9C" w:rsidRDefault="00DB2E50" w:rsidP="00DA67E2">
      <w:pPr>
        <w:tabs>
          <w:tab w:val="left" w:pos="0"/>
        </w:tabs>
        <w:jc w:val="both"/>
        <w:rPr>
          <w:b/>
          <w:color w:val="000000"/>
          <w:u w:val="single"/>
          <w:lang w:val="uk-UA"/>
        </w:rPr>
      </w:pPr>
      <w:r w:rsidRPr="00444B9C">
        <w:rPr>
          <w:b/>
          <w:color w:val="000000"/>
          <w:u w:val="single"/>
          <w:lang w:val="uk-UA"/>
        </w:rPr>
        <w:t>Активи, їх облік та оцінка</w:t>
      </w:r>
    </w:p>
    <w:p w:rsidR="00D97B94" w:rsidRPr="00444B9C" w:rsidRDefault="00D97B94" w:rsidP="00DA67E2">
      <w:pPr>
        <w:tabs>
          <w:tab w:val="left" w:pos="0"/>
        </w:tabs>
        <w:jc w:val="both"/>
        <w:rPr>
          <w:b/>
          <w:bCs/>
          <w:lang w:val="uk-UA"/>
        </w:rPr>
      </w:pPr>
      <w:r w:rsidRPr="00444B9C">
        <w:rPr>
          <w:b/>
          <w:bCs/>
          <w:lang w:val="uk-UA"/>
        </w:rPr>
        <w:t>Необоротні активи.</w:t>
      </w:r>
    </w:p>
    <w:p w:rsidR="00D97B94" w:rsidRPr="00444B9C" w:rsidRDefault="00D97B94" w:rsidP="00DA67E2">
      <w:pPr>
        <w:shd w:val="clear" w:color="auto" w:fill="FFFFFF"/>
        <w:tabs>
          <w:tab w:val="left" w:pos="0"/>
        </w:tabs>
        <w:jc w:val="both"/>
        <w:rPr>
          <w:lang w:val="uk-UA"/>
        </w:rPr>
      </w:pPr>
      <w:r w:rsidRPr="00444B9C">
        <w:rPr>
          <w:lang w:val="uk-UA"/>
        </w:rPr>
        <w:t>Інформація  щодо необоротних активів, як</w:t>
      </w:r>
      <w:r w:rsidR="00D671F3" w:rsidRPr="00444B9C">
        <w:rPr>
          <w:lang w:val="uk-UA"/>
        </w:rPr>
        <w:t xml:space="preserve">а наведена у фінансових звітах та </w:t>
      </w:r>
      <w:r w:rsidRPr="00444B9C">
        <w:rPr>
          <w:lang w:val="uk-UA"/>
        </w:rPr>
        <w:t>розкр</w:t>
      </w:r>
      <w:r w:rsidR="00D671F3" w:rsidRPr="00444B9C">
        <w:rPr>
          <w:lang w:val="uk-UA"/>
        </w:rPr>
        <w:t xml:space="preserve">ита у </w:t>
      </w:r>
      <w:r w:rsidR="00311AF4" w:rsidRPr="00444B9C">
        <w:rPr>
          <w:lang w:val="uk-UA"/>
        </w:rPr>
        <w:t>примітках в усіх суттєвих аспектах, відповідає</w:t>
      </w:r>
      <w:r w:rsidR="00D671F3" w:rsidRPr="00444B9C">
        <w:rPr>
          <w:lang w:val="uk-UA"/>
        </w:rPr>
        <w:t xml:space="preserve"> </w:t>
      </w:r>
      <w:r w:rsidR="00311AF4" w:rsidRPr="00444B9C">
        <w:rPr>
          <w:lang w:val="uk-UA"/>
        </w:rPr>
        <w:t>вимогам</w:t>
      </w:r>
      <w:r w:rsidRPr="00444B9C">
        <w:rPr>
          <w:lang w:val="uk-UA"/>
        </w:rPr>
        <w:t xml:space="preserve"> </w:t>
      </w:r>
      <w:r w:rsidR="00D671F3" w:rsidRPr="00444B9C">
        <w:rPr>
          <w:lang w:val="uk-UA"/>
        </w:rPr>
        <w:t>МСБО</w:t>
      </w:r>
      <w:r w:rsidRPr="00444B9C">
        <w:rPr>
          <w:lang w:val="uk-UA"/>
        </w:rPr>
        <w:t xml:space="preserve">. </w:t>
      </w:r>
    </w:p>
    <w:p w:rsidR="00D97B94" w:rsidRPr="00444B9C" w:rsidRDefault="00D97B94" w:rsidP="00DA67E2">
      <w:pPr>
        <w:shd w:val="clear" w:color="auto" w:fill="FFFFFF"/>
        <w:tabs>
          <w:tab w:val="left" w:pos="0"/>
        </w:tabs>
        <w:jc w:val="both"/>
        <w:rPr>
          <w:b/>
          <w:lang w:val="uk-UA"/>
        </w:rPr>
      </w:pPr>
      <w:r w:rsidRPr="00444B9C">
        <w:rPr>
          <w:b/>
          <w:i/>
          <w:lang w:val="uk-UA"/>
        </w:rPr>
        <w:t>Нематеріальні активи</w:t>
      </w:r>
      <w:r w:rsidRPr="00444B9C">
        <w:rPr>
          <w:b/>
          <w:lang w:val="uk-UA"/>
        </w:rPr>
        <w:t xml:space="preserve"> </w:t>
      </w:r>
      <w:r w:rsidR="003E7DA5" w:rsidRPr="00444B9C">
        <w:rPr>
          <w:lang w:val="uk-UA"/>
        </w:rPr>
        <w:t>с</w:t>
      </w:r>
      <w:r w:rsidRPr="00444B9C">
        <w:rPr>
          <w:lang w:val="uk-UA"/>
        </w:rPr>
        <w:t xml:space="preserve">таном на 31.12.2016 року </w:t>
      </w:r>
      <w:r w:rsidR="00481D1A">
        <w:rPr>
          <w:lang w:val="uk-UA"/>
        </w:rPr>
        <w:t>становлять 51,0</w:t>
      </w:r>
      <w:r w:rsidR="00CD479E">
        <w:rPr>
          <w:lang w:val="uk-UA"/>
        </w:rPr>
        <w:t xml:space="preserve"> </w:t>
      </w:r>
      <w:r w:rsidR="00481D1A">
        <w:rPr>
          <w:lang w:val="uk-UA"/>
        </w:rPr>
        <w:t>тис.</w:t>
      </w:r>
      <w:r w:rsidR="00F642E7">
        <w:rPr>
          <w:lang w:val="uk-UA"/>
        </w:rPr>
        <w:t xml:space="preserve"> </w:t>
      </w:r>
      <w:r w:rsidR="00481D1A">
        <w:rPr>
          <w:lang w:val="uk-UA"/>
        </w:rPr>
        <w:t xml:space="preserve">грн., і 100 </w:t>
      </w:r>
      <w:proofErr w:type="spellStart"/>
      <w:r w:rsidR="00481D1A">
        <w:rPr>
          <w:lang w:val="uk-UA"/>
        </w:rPr>
        <w:t>відсотково</w:t>
      </w:r>
      <w:proofErr w:type="spellEnd"/>
      <w:r w:rsidR="00481D1A">
        <w:rPr>
          <w:lang w:val="uk-UA"/>
        </w:rPr>
        <w:t xml:space="preserve"> амортизовані.</w:t>
      </w:r>
    </w:p>
    <w:p w:rsidR="00D97B94" w:rsidRPr="00444B9C" w:rsidRDefault="00D97B94" w:rsidP="00DA67E2">
      <w:pPr>
        <w:shd w:val="clear" w:color="auto" w:fill="FFFFFF"/>
        <w:tabs>
          <w:tab w:val="left" w:pos="0"/>
        </w:tabs>
        <w:jc w:val="both"/>
        <w:rPr>
          <w:lang w:val="uk-UA"/>
        </w:rPr>
      </w:pPr>
      <w:r w:rsidRPr="00444B9C">
        <w:rPr>
          <w:b/>
          <w:i/>
          <w:lang w:val="uk-UA"/>
        </w:rPr>
        <w:t>Незавершені капітальні інвестиції</w:t>
      </w:r>
      <w:r w:rsidRPr="00444B9C">
        <w:rPr>
          <w:b/>
          <w:lang w:val="uk-UA"/>
        </w:rPr>
        <w:t xml:space="preserve"> </w:t>
      </w:r>
      <w:r w:rsidR="00D671F3" w:rsidRPr="00444B9C">
        <w:rPr>
          <w:b/>
          <w:lang w:val="uk-UA"/>
        </w:rPr>
        <w:t xml:space="preserve"> </w:t>
      </w:r>
      <w:r w:rsidR="002D1D78" w:rsidRPr="00444B9C">
        <w:rPr>
          <w:lang w:val="uk-UA"/>
        </w:rPr>
        <w:t xml:space="preserve">станом на 31.12.2016 року </w:t>
      </w:r>
      <w:r w:rsidR="002C04DE">
        <w:rPr>
          <w:lang w:val="uk-UA"/>
        </w:rPr>
        <w:t>відсутні</w:t>
      </w:r>
      <w:r w:rsidR="002D1D78">
        <w:rPr>
          <w:lang w:val="uk-UA"/>
        </w:rPr>
        <w:t>.</w:t>
      </w:r>
    </w:p>
    <w:p w:rsidR="0081776C" w:rsidRDefault="00D97B94" w:rsidP="00CB2E6F">
      <w:pPr>
        <w:shd w:val="clear" w:color="auto" w:fill="FFFFFF"/>
        <w:tabs>
          <w:tab w:val="left" w:pos="0"/>
        </w:tabs>
        <w:jc w:val="both"/>
        <w:rPr>
          <w:lang w:val="uk-UA"/>
        </w:rPr>
      </w:pPr>
      <w:r w:rsidRPr="00444B9C">
        <w:rPr>
          <w:b/>
          <w:i/>
          <w:lang w:val="uk-UA"/>
        </w:rPr>
        <w:t>Основні засоби</w:t>
      </w:r>
      <w:r w:rsidR="00D671F3" w:rsidRPr="00444B9C">
        <w:rPr>
          <w:b/>
          <w:lang w:val="uk-UA"/>
        </w:rPr>
        <w:t xml:space="preserve"> </w:t>
      </w:r>
      <w:r w:rsidR="003E7DA5" w:rsidRPr="00444B9C">
        <w:rPr>
          <w:spacing w:val="-9"/>
          <w:lang w:val="uk-UA"/>
        </w:rPr>
        <w:t>с</w:t>
      </w:r>
      <w:r w:rsidR="00311AF4" w:rsidRPr="00444B9C">
        <w:rPr>
          <w:spacing w:val="-9"/>
          <w:lang w:val="uk-UA"/>
        </w:rPr>
        <w:t>таном на 31.12.2016 року</w:t>
      </w:r>
      <w:r w:rsidRPr="00444B9C">
        <w:rPr>
          <w:spacing w:val="-9"/>
          <w:lang w:val="uk-UA"/>
        </w:rPr>
        <w:t xml:space="preserve"> Товариство </w:t>
      </w:r>
      <w:r w:rsidR="00311AF4" w:rsidRPr="00444B9C">
        <w:rPr>
          <w:spacing w:val="-9"/>
          <w:lang w:val="uk-UA"/>
        </w:rPr>
        <w:t xml:space="preserve">обліковує основні засоби використовуючи модель собівартості </w:t>
      </w:r>
      <w:r w:rsidRPr="00444B9C">
        <w:rPr>
          <w:lang w:val="uk-UA"/>
        </w:rPr>
        <w:t>(МСФО 16 "Основні засоби")</w:t>
      </w:r>
      <w:r w:rsidR="00311AF4" w:rsidRPr="00444B9C">
        <w:rPr>
          <w:lang w:val="uk-UA"/>
        </w:rPr>
        <w:t>.</w:t>
      </w:r>
      <w:r w:rsidRPr="00444B9C">
        <w:rPr>
          <w:lang w:val="uk-UA"/>
        </w:rPr>
        <w:t xml:space="preserve"> </w:t>
      </w:r>
    </w:p>
    <w:p w:rsidR="00CB2E6F" w:rsidRPr="00444B9C" w:rsidRDefault="005C0B35" w:rsidP="00CB2E6F">
      <w:pPr>
        <w:shd w:val="clear" w:color="auto" w:fill="FFFFFF"/>
        <w:tabs>
          <w:tab w:val="left" w:pos="0"/>
        </w:tabs>
        <w:jc w:val="both"/>
        <w:rPr>
          <w:b/>
          <w:lang w:val="uk-UA"/>
        </w:rPr>
      </w:pPr>
      <w:r w:rsidRPr="00444B9C">
        <w:rPr>
          <w:spacing w:val="-9"/>
          <w:lang w:val="uk-UA"/>
        </w:rPr>
        <w:t>Балансова</w:t>
      </w:r>
      <w:r w:rsidR="00D97B94" w:rsidRPr="00444B9C">
        <w:rPr>
          <w:spacing w:val="-9"/>
          <w:lang w:val="uk-UA"/>
        </w:rPr>
        <w:t xml:space="preserve"> вартіст</w:t>
      </w:r>
      <w:r w:rsidR="00311AF4" w:rsidRPr="00444B9C">
        <w:rPr>
          <w:spacing w:val="-9"/>
          <w:lang w:val="uk-UA"/>
        </w:rPr>
        <w:t>ь</w:t>
      </w:r>
      <w:r w:rsidR="00D97B94" w:rsidRPr="00444B9C">
        <w:rPr>
          <w:spacing w:val="-9"/>
          <w:lang w:val="uk-UA"/>
        </w:rPr>
        <w:t xml:space="preserve"> –</w:t>
      </w:r>
      <w:r w:rsidR="002D1D78">
        <w:rPr>
          <w:spacing w:val="-9"/>
          <w:lang w:val="uk-UA"/>
        </w:rPr>
        <w:t xml:space="preserve"> </w:t>
      </w:r>
      <w:r w:rsidR="00481D1A">
        <w:rPr>
          <w:spacing w:val="-9"/>
          <w:lang w:val="uk-UA"/>
        </w:rPr>
        <w:t>114</w:t>
      </w:r>
      <w:r w:rsidR="00CD479E">
        <w:rPr>
          <w:spacing w:val="-9"/>
          <w:lang w:val="uk-UA"/>
        </w:rPr>
        <w:t xml:space="preserve"> </w:t>
      </w:r>
      <w:r w:rsidR="00D97B94" w:rsidRPr="00444B9C">
        <w:rPr>
          <w:spacing w:val="-9"/>
          <w:lang w:val="uk-UA"/>
        </w:rPr>
        <w:t>тис.</w:t>
      </w:r>
      <w:r w:rsidR="00CD479E">
        <w:rPr>
          <w:spacing w:val="-9"/>
          <w:lang w:val="uk-UA"/>
        </w:rPr>
        <w:t xml:space="preserve"> </w:t>
      </w:r>
      <w:r w:rsidR="00D97B94" w:rsidRPr="00444B9C">
        <w:rPr>
          <w:spacing w:val="-9"/>
          <w:lang w:val="uk-UA"/>
        </w:rPr>
        <w:t>грн</w:t>
      </w:r>
      <w:r w:rsidR="00CD479E">
        <w:rPr>
          <w:spacing w:val="-9"/>
          <w:lang w:val="uk-UA"/>
        </w:rPr>
        <w:t>.</w:t>
      </w:r>
      <w:r w:rsidR="00CB2E6F" w:rsidRPr="00CB2E6F">
        <w:rPr>
          <w:lang w:val="uk-UA"/>
        </w:rPr>
        <w:t xml:space="preserve"> </w:t>
      </w:r>
      <w:r w:rsidR="00CD479E">
        <w:rPr>
          <w:lang w:val="uk-UA"/>
        </w:rPr>
        <w:t xml:space="preserve">і 100 </w:t>
      </w:r>
      <w:proofErr w:type="spellStart"/>
      <w:r w:rsidR="00CD479E">
        <w:rPr>
          <w:lang w:val="uk-UA"/>
        </w:rPr>
        <w:t>відсотково</w:t>
      </w:r>
      <w:proofErr w:type="spellEnd"/>
      <w:r w:rsidR="00CD479E">
        <w:rPr>
          <w:lang w:val="uk-UA"/>
        </w:rPr>
        <w:t xml:space="preserve"> амортизовані.</w:t>
      </w:r>
    </w:p>
    <w:p w:rsidR="00D97B94" w:rsidRPr="00444B9C" w:rsidRDefault="00D97B94" w:rsidP="006E1986">
      <w:pPr>
        <w:tabs>
          <w:tab w:val="left" w:pos="0"/>
        </w:tabs>
        <w:jc w:val="both"/>
        <w:rPr>
          <w:b/>
          <w:bCs/>
          <w:lang w:val="uk-UA"/>
        </w:rPr>
      </w:pPr>
      <w:r w:rsidRPr="00444B9C">
        <w:rPr>
          <w:b/>
          <w:bCs/>
          <w:lang w:val="uk-UA"/>
        </w:rPr>
        <w:t>Оборотні активи.</w:t>
      </w:r>
    </w:p>
    <w:p w:rsidR="00D97B94" w:rsidRPr="00444B9C" w:rsidRDefault="00D97B94" w:rsidP="00BD6C9B">
      <w:pPr>
        <w:tabs>
          <w:tab w:val="left" w:pos="0"/>
        </w:tabs>
        <w:rPr>
          <w:lang w:val="uk-UA"/>
        </w:rPr>
      </w:pPr>
      <w:r w:rsidRPr="00444B9C">
        <w:rPr>
          <w:lang w:val="uk-UA"/>
        </w:rPr>
        <w:t xml:space="preserve">Інформація  щодо оборотних  активів, яка наведена у фінансових звітах станом на 31.12.2016 року, розкрита у  всіх суттєвих аспектах, </w:t>
      </w:r>
      <w:r w:rsidR="003E7DA5" w:rsidRPr="00444B9C">
        <w:rPr>
          <w:lang w:val="uk-UA"/>
        </w:rPr>
        <w:t>відповідно до МСБО</w:t>
      </w:r>
      <w:r w:rsidRPr="00444B9C">
        <w:rPr>
          <w:lang w:val="uk-UA"/>
        </w:rPr>
        <w:t xml:space="preserve"> а саме:</w:t>
      </w:r>
    </w:p>
    <w:p w:rsidR="00CB2E6F" w:rsidRDefault="00BD6C9B" w:rsidP="002C04DE">
      <w:pPr>
        <w:tabs>
          <w:tab w:val="left" w:pos="0"/>
        </w:tabs>
        <w:jc w:val="both"/>
        <w:rPr>
          <w:b/>
          <w:i/>
          <w:lang w:val="uk-UA"/>
        </w:rPr>
      </w:pPr>
      <w:r w:rsidRPr="00444B9C">
        <w:rPr>
          <w:b/>
          <w:i/>
          <w:lang w:val="uk-UA"/>
        </w:rPr>
        <w:t>З</w:t>
      </w:r>
      <w:r w:rsidR="00D97B94" w:rsidRPr="00444B9C">
        <w:rPr>
          <w:b/>
          <w:i/>
          <w:lang w:val="uk-UA"/>
        </w:rPr>
        <w:t>апаси</w:t>
      </w:r>
      <w:r w:rsidRPr="00444B9C">
        <w:rPr>
          <w:lang w:val="uk-UA"/>
        </w:rPr>
        <w:t xml:space="preserve"> </w:t>
      </w:r>
      <w:r w:rsidR="002C04DE" w:rsidRPr="00444B9C">
        <w:rPr>
          <w:lang w:val="uk-UA"/>
        </w:rPr>
        <w:t xml:space="preserve">станом на 31.12.2016 року </w:t>
      </w:r>
      <w:r w:rsidR="00CB2E6F">
        <w:rPr>
          <w:lang w:val="uk-UA"/>
        </w:rPr>
        <w:t>– 8,0</w:t>
      </w:r>
      <w:r w:rsidR="00CD479E">
        <w:rPr>
          <w:lang w:val="uk-UA"/>
        </w:rPr>
        <w:t xml:space="preserve"> </w:t>
      </w:r>
      <w:r w:rsidR="00CB2E6F">
        <w:rPr>
          <w:lang w:val="uk-UA"/>
        </w:rPr>
        <w:t>тис.</w:t>
      </w:r>
      <w:r w:rsidR="00CD479E">
        <w:rPr>
          <w:lang w:val="uk-UA"/>
        </w:rPr>
        <w:t xml:space="preserve"> </w:t>
      </w:r>
      <w:r w:rsidR="00CB2E6F">
        <w:rPr>
          <w:lang w:val="uk-UA"/>
        </w:rPr>
        <w:t>грн</w:t>
      </w:r>
      <w:r w:rsidR="00CD479E">
        <w:rPr>
          <w:lang w:val="uk-UA"/>
        </w:rPr>
        <w:t>.</w:t>
      </w:r>
      <w:r w:rsidR="00CB2E6F" w:rsidRPr="00444B9C">
        <w:rPr>
          <w:b/>
          <w:i/>
          <w:lang w:val="uk-UA"/>
        </w:rPr>
        <w:t xml:space="preserve"> </w:t>
      </w:r>
    </w:p>
    <w:p w:rsidR="00D97B94" w:rsidRDefault="00A61F6A" w:rsidP="002C04DE">
      <w:pPr>
        <w:tabs>
          <w:tab w:val="left" w:pos="0"/>
        </w:tabs>
        <w:jc w:val="both"/>
        <w:rPr>
          <w:lang w:val="uk-UA"/>
        </w:rPr>
      </w:pPr>
      <w:r w:rsidRPr="00444B9C">
        <w:rPr>
          <w:b/>
          <w:i/>
          <w:lang w:val="uk-UA"/>
        </w:rPr>
        <w:t>Д</w:t>
      </w:r>
      <w:r w:rsidR="00F2010E" w:rsidRPr="00444B9C">
        <w:rPr>
          <w:b/>
          <w:i/>
          <w:lang w:val="uk-UA"/>
        </w:rPr>
        <w:t xml:space="preserve">ебіторська </w:t>
      </w:r>
      <w:r w:rsidR="00D97B94" w:rsidRPr="00444B9C">
        <w:rPr>
          <w:b/>
          <w:i/>
          <w:lang w:val="uk-UA"/>
        </w:rPr>
        <w:t>заборгованість</w:t>
      </w:r>
      <w:r w:rsidR="00D97B94" w:rsidRPr="00444B9C">
        <w:rPr>
          <w:lang w:val="uk-UA"/>
        </w:rPr>
        <w:t xml:space="preserve"> </w:t>
      </w:r>
      <w:r w:rsidR="002C04DE" w:rsidRPr="00444B9C">
        <w:rPr>
          <w:lang w:val="uk-UA"/>
        </w:rPr>
        <w:t>станом на 31.12.2016 року</w:t>
      </w:r>
      <w:r w:rsidR="00CB2E6F">
        <w:rPr>
          <w:lang w:val="uk-UA"/>
        </w:rPr>
        <w:t xml:space="preserve"> становить 54</w:t>
      </w:r>
      <w:r w:rsidR="00CD479E">
        <w:rPr>
          <w:lang w:val="uk-UA"/>
        </w:rPr>
        <w:t xml:space="preserve"> </w:t>
      </w:r>
      <w:r w:rsidR="00CB2E6F">
        <w:rPr>
          <w:lang w:val="uk-UA"/>
        </w:rPr>
        <w:t>064,0</w:t>
      </w:r>
      <w:r w:rsidR="00CD479E">
        <w:rPr>
          <w:lang w:val="uk-UA"/>
        </w:rPr>
        <w:t xml:space="preserve"> </w:t>
      </w:r>
      <w:r w:rsidR="00CB2E6F">
        <w:rPr>
          <w:lang w:val="uk-UA"/>
        </w:rPr>
        <w:t>тис.</w:t>
      </w:r>
      <w:r w:rsidR="00CD479E">
        <w:rPr>
          <w:lang w:val="uk-UA"/>
        </w:rPr>
        <w:t xml:space="preserve"> </w:t>
      </w:r>
      <w:r w:rsidR="00CB2E6F">
        <w:rPr>
          <w:lang w:val="uk-UA"/>
        </w:rPr>
        <w:t>грн.:</w:t>
      </w:r>
    </w:p>
    <w:p w:rsidR="00CB2E6F" w:rsidRPr="00CD479E" w:rsidRDefault="00CB2E6F" w:rsidP="002C04DE">
      <w:pPr>
        <w:tabs>
          <w:tab w:val="left" w:pos="0"/>
        </w:tabs>
        <w:jc w:val="both"/>
        <w:rPr>
          <w:lang w:val="uk-UA"/>
        </w:rPr>
      </w:pPr>
      <w:r w:rsidRPr="00444B9C">
        <w:rPr>
          <w:b/>
          <w:i/>
          <w:lang w:val="uk-UA"/>
        </w:rPr>
        <w:t>Дебіторська заборгованість за</w:t>
      </w:r>
      <w:r w:rsidR="00CD479E">
        <w:rPr>
          <w:b/>
          <w:i/>
          <w:lang w:val="uk-UA"/>
        </w:rPr>
        <w:t xml:space="preserve"> продукцію,  товари роботи</w:t>
      </w:r>
      <w:r>
        <w:rPr>
          <w:b/>
          <w:i/>
          <w:lang w:val="uk-UA"/>
        </w:rPr>
        <w:t>,</w:t>
      </w:r>
      <w:r w:rsidR="00CD479E">
        <w:rPr>
          <w:b/>
          <w:i/>
          <w:lang w:val="uk-UA"/>
        </w:rPr>
        <w:t xml:space="preserve"> </w:t>
      </w:r>
      <w:r>
        <w:rPr>
          <w:b/>
          <w:i/>
          <w:lang w:val="uk-UA"/>
        </w:rPr>
        <w:t xml:space="preserve">послуги </w:t>
      </w:r>
      <w:r w:rsidR="00CD479E" w:rsidRPr="00CD479E">
        <w:rPr>
          <w:lang w:val="uk-UA"/>
        </w:rPr>
        <w:t xml:space="preserve">- </w:t>
      </w:r>
      <w:r w:rsidRPr="00CD479E">
        <w:rPr>
          <w:lang w:val="uk-UA"/>
        </w:rPr>
        <w:t>53</w:t>
      </w:r>
      <w:r w:rsidR="00CD479E" w:rsidRPr="00CD479E">
        <w:rPr>
          <w:lang w:val="uk-UA"/>
        </w:rPr>
        <w:t> </w:t>
      </w:r>
      <w:r w:rsidRPr="00CD479E">
        <w:rPr>
          <w:lang w:val="uk-UA"/>
        </w:rPr>
        <w:t>066</w:t>
      </w:r>
      <w:r w:rsidR="00CD479E" w:rsidRPr="00CD479E">
        <w:rPr>
          <w:lang w:val="uk-UA"/>
        </w:rPr>
        <w:t xml:space="preserve"> тис. грн.</w:t>
      </w:r>
    </w:p>
    <w:p w:rsidR="00D97B94" w:rsidRPr="00444B9C" w:rsidRDefault="00A61F6A" w:rsidP="00A61F6A">
      <w:pPr>
        <w:shd w:val="clear" w:color="auto" w:fill="FFFFFF"/>
        <w:tabs>
          <w:tab w:val="left" w:pos="0"/>
        </w:tabs>
        <w:snapToGrid w:val="0"/>
        <w:jc w:val="both"/>
        <w:rPr>
          <w:iCs/>
          <w:color w:val="000000"/>
          <w:lang w:val="uk-UA"/>
        </w:rPr>
      </w:pPr>
      <w:r w:rsidRPr="00444B9C">
        <w:rPr>
          <w:b/>
          <w:i/>
          <w:iCs/>
          <w:color w:val="000000"/>
          <w:lang w:val="uk-UA"/>
        </w:rPr>
        <w:t>І</w:t>
      </w:r>
      <w:r w:rsidR="00BB4987" w:rsidRPr="00444B9C">
        <w:rPr>
          <w:b/>
          <w:i/>
          <w:iCs/>
          <w:color w:val="000000"/>
          <w:lang w:val="uk-UA"/>
        </w:rPr>
        <w:t>нш</w:t>
      </w:r>
      <w:r w:rsidR="001E0D80" w:rsidRPr="00444B9C">
        <w:rPr>
          <w:b/>
          <w:i/>
          <w:iCs/>
          <w:color w:val="000000"/>
          <w:lang w:val="uk-UA"/>
        </w:rPr>
        <w:t>ої поточної дебіторської заборгованості</w:t>
      </w:r>
      <w:r w:rsidR="00BB4987" w:rsidRPr="00444B9C">
        <w:rPr>
          <w:iCs/>
          <w:color w:val="000000"/>
          <w:lang w:val="uk-UA"/>
        </w:rPr>
        <w:t xml:space="preserve"> – </w:t>
      </w:r>
      <w:r w:rsidR="00CB2E6F">
        <w:rPr>
          <w:iCs/>
          <w:color w:val="000000"/>
          <w:lang w:val="uk-UA"/>
        </w:rPr>
        <w:t>998</w:t>
      </w:r>
      <w:r w:rsidR="00BB4987" w:rsidRPr="00444B9C">
        <w:rPr>
          <w:iCs/>
          <w:color w:val="000000"/>
          <w:lang w:val="uk-UA"/>
        </w:rPr>
        <w:t xml:space="preserve"> тис.</w:t>
      </w:r>
      <w:r w:rsidR="003E7DA5" w:rsidRPr="00444B9C">
        <w:rPr>
          <w:iCs/>
          <w:color w:val="000000"/>
          <w:lang w:val="uk-UA"/>
        </w:rPr>
        <w:t xml:space="preserve"> </w:t>
      </w:r>
      <w:r w:rsidR="00BB4987" w:rsidRPr="00444B9C">
        <w:rPr>
          <w:iCs/>
          <w:color w:val="000000"/>
          <w:lang w:val="uk-UA"/>
        </w:rPr>
        <w:t>грн.</w:t>
      </w:r>
      <w:r w:rsidR="001E0D80" w:rsidRPr="00444B9C">
        <w:rPr>
          <w:iCs/>
          <w:color w:val="000000"/>
          <w:lang w:val="uk-UA"/>
        </w:rPr>
        <w:t xml:space="preserve"> </w:t>
      </w:r>
    </w:p>
    <w:p w:rsidR="00F2010E" w:rsidRPr="00444B9C" w:rsidRDefault="00F2010E" w:rsidP="00A61F6A">
      <w:pPr>
        <w:shd w:val="clear" w:color="auto" w:fill="FFFFFF"/>
        <w:tabs>
          <w:tab w:val="left" w:pos="0"/>
        </w:tabs>
        <w:snapToGrid w:val="0"/>
        <w:jc w:val="both"/>
        <w:rPr>
          <w:iCs/>
          <w:color w:val="000000"/>
          <w:lang w:val="uk-UA"/>
        </w:rPr>
      </w:pPr>
      <w:r w:rsidRPr="00444B9C">
        <w:rPr>
          <w:iCs/>
          <w:color w:val="000000"/>
          <w:lang w:val="uk-UA"/>
        </w:rPr>
        <w:t xml:space="preserve">Облік дебіторської заборгованості здійснюється за справедливою вартістю із визнанням </w:t>
      </w:r>
      <w:r w:rsidR="002C04DE">
        <w:rPr>
          <w:iCs/>
          <w:color w:val="000000"/>
          <w:lang w:val="uk-UA"/>
        </w:rPr>
        <w:t xml:space="preserve">зменшення її корисності шляхом створення </w:t>
      </w:r>
      <w:r w:rsidRPr="00444B9C">
        <w:rPr>
          <w:iCs/>
          <w:color w:val="000000"/>
          <w:lang w:val="uk-UA"/>
        </w:rPr>
        <w:t>резерву сумнівних боргів через прибутки (збитки).</w:t>
      </w:r>
    </w:p>
    <w:p w:rsidR="00F65F4B" w:rsidRPr="00444B9C" w:rsidRDefault="00DB2E50" w:rsidP="00E4380D">
      <w:pPr>
        <w:shd w:val="clear" w:color="auto" w:fill="FFFFFF"/>
        <w:tabs>
          <w:tab w:val="left" w:pos="0"/>
        </w:tabs>
        <w:snapToGrid w:val="0"/>
        <w:rPr>
          <w:color w:val="000000"/>
          <w:lang w:val="uk-UA"/>
        </w:rPr>
      </w:pPr>
      <w:r w:rsidRPr="00444B9C">
        <w:rPr>
          <w:color w:val="000000"/>
          <w:lang w:val="uk-UA"/>
        </w:rPr>
        <w:t>Станом на 31.12.201</w:t>
      </w:r>
      <w:r w:rsidR="003B34D3" w:rsidRPr="00444B9C">
        <w:rPr>
          <w:color w:val="000000"/>
          <w:lang w:val="uk-UA"/>
        </w:rPr>
        <w:t>6</w:t>
      </w:r>
      <w:r w:rsidR="00D64ECC">
        <w:rPr>
          <w:color w:val="000000"/>
          <w:lang w:val="uk-UA"/>
        </w:rPr>
        <w:t xml:space="preserve"> року</w:t>
      </w:r>
      <w:r w:rsidRPr="00444B9C">
        <w:rPr>
          <w:color w:val="000000"/>
          <w:lang w:val="uk-UA"/>
        </w:rPr>
        <w:t xml:space="preserve"> </w:t>
      </w:r>
      <w:r w:rsidRPr="00444B9C">
        <w:rPr>
          <w:b/>
          <w:i/>
          <w:color w:val="000000"/>
          <w:lang w:val="uk-UA"/>
        </w:rPr>
        <w:t>грошові кошти та їх еквіваленти</w:t>
      </w:r>
      <w:r w:rsidRPr="00444B9C">
        <w:rPr>
          <w:color w:val="000000"/>
          <w:lang w:val="uk-UA"/>
        </w:rPr>
        <w:t xml:space="preserve"> складають  </w:t>
      </w:r>
      <w:r w:rsidR="00CB2E6F">
        <w:rPr>
          <w:color w:val="000000"/>
          <w:lang w:val="uk-UA"/>
        </w:rPr>
        <w:t>14</w:t>
      </w:r>
      <w:r w:rsidR="00A71718">
        <w:rPr>
          <w:color w:val="000000"/>
          <w:lang w:val="uk-UA"/>
        </w:rPr>
        <w:t xml:space="preserve"> </w:t>
      </w:r>
      <w:r w:rsidR="00CB2E6F">
        <w:rPr>
          <w:color w:val="000000"/>
          <w:lang w:val="uk-UA"/>
        </w:rPr>
        <w:t>193</w:t>
      </w:r>
      <w:r w:rsidRPr="00444B9C">
        <w:rPr>
          <w:color w:val="000000"/>
          <w:lang w:val="uk-UA"/>
        </w:rPr>
        <w:t xml:space="preserve">  тис. грн.</w:t>
      </w:r>
      <w:r w:rsidR="002C04DE">
        <w:rPr>
          <w:color w:val="000000"/>
          <w:lang w:val="uk-UA"/>
        </w:rPr>
        <w:t xml:space="preserve"> </w:t>
      </w:r>
    </w:p>
    <w:p w:rsidR="00DB2E50" w:rsidRPr="006E1986" w:rsidRDefault="00F65F4B" w:rsidP="00DA67E2">
      <w:pPr>
        <w:shd w:val="clear" w:color="auto" w:fill="FFFFFF"/>
        <w:tabs>
          <w:tab w:val="left" w:pos="0"/>
        </w:tabs>
        <w:jc w:val="both"/>
        <w:rPr>
          <w:lang w:val="uk-UA"/>
        </w:rPr>
      </w:pPr>
      <w:r w:rsidRPr="00444B9C">
        <w:rPr>
          <w:lang w:val="uk-UA"/>
        </w:rPr>
        <w:t xml:space="preserve">Грошові кошти Товариства зберігаються на поточних банківських рахунках. Безготівкові розрахунки здійснюються Товариством з дотриманням вимог діючого законодавства. Облік касових операцій ведеться згідно вимог «Положення про ведення касових операцій у </w:t>
      </w:r>
      <w:r w:rsidRPr="00444B9C">
        <w:rPr>
          <w:lang w:val="uk-UA"/>
        </w:rPr>
        <w:lastRenderedPageBreak/>
        <w:t>національній валюті в Україні», затвердженого постановою Правління Національного банку України від 15.12.2004р. №</w:t>
      </w:r>
      <w:r w:rsidR="00E4380D" w:rsidRPr="00444B9C">
        <w:rPr>
          <w:lang w:val="uk-UA"/>
        </w:rPr>
        <w:t xml:space="preserve"> </w:t>
      </w:r>
      <w:r w:rsidRPr="00444B9C">
        <w:rPr>
          <w:lang w:val="uk-UA"/>
        </w:rPr>
        <w:t xml:space="preserve">637 із змінами та </w:t>
      </w:r>
      <w:r w:rsidR="00E4380D" w:rsidRPr="00444B9C">
        <w:rPr>
          <w:lang w:val="uk-UA"/>
        </w:rPr>
        <w:t>доповненнями.</w:t>
      </w:r>
    </w:p>
    <w:p w:rsidR="006E1986" w:rsidRDefault="00370DB7" w:rsidP="00DA67E2">
      <w:pPr>
        <w:shd w:val="clear" w:color="auto" w:fill="FFFFFF"/>
        <w:tabs>
          <w:tab w:val="left" w:pos="0"/>
        </w:tabs>
        <w:jc w:val="both"/>
        <w:rPr>
          <w:b/>
          <w:color w:val="000000"/>
          <w:lang w:val="uk-UA"/>
        </w:rPr>
      </w:pPr>
      <w:r w:rsidRPr="00370DB7">
        <w:rPr>
          <w:b/>
          <w:color w:val="000000"/>
          <w:lang w:val="uk-UA"/>
        </w:rPr>
        <w:tab/>
      </w:r>
    </w:p>
    <w:p w:rsidR="00E4380D" w:rsidRPr="00BD7F4C" w:rsidRDefault="00DB2E50" w:rsidP="00DA67E2">
      <w:pPr>
        <w:shd w:val="clear" w:color="auto" w:fill="FFFFFF"/>
        <w:tabs>
          <w:tab w:val="left" w:pos="0"/>
        </w:tabs>
        <w:jc w:val="both"/>
        <w:rPr>
          <w:b/>
          <w:color w:val="000000"/>
          <w:u w:val="single"/>
          <w:lang w:val="uk-UA"/>
        </w:rPr>
      </w:pPr>
      <w:r w:rsidRPr="00BD7F4C">
        <w:rPr>
          <w:b/>
          <w:color w:val="000000"/>
          <w:u w:val="single"/>
          <w:lang w:val="uk-UA"/>
        </w:rPr>
        <w:t>Облік та оцінка зобов’язань</w:t>
      </w:r>
    </w:p>
    <w:p w:rsidR="00DB2E50" w:rsidRPr="00444B9C" w:rsidRDefault="00DB2E50" w:rsidP="00DA67E2">
      <w:pPr>
        <w:widowControl w:val="0"/>
        <w:tabs>
          <w:tab w:val="left" w:pos="0"/>
        </w:tabs>
        <w:jc w:val="both"/>
        <w:rPr>
          <w:lang w:val="uk-UA"/>
        </w:rPr>
      </w:pPr>
      <w:r w:rsidRPr="00444B9C">
        <w:rPr>
          <w:color w:val="000000"/>
          <w:lang w:val="uk-UA"/>
        </w:rPr>
        <w:t>Визнання, достовірність оцінки, а також аналітичний та синтетичний облік зобов‘язань в цілому відповідають  вимогам</w:t>
      </w:r>
      <w:r w:rsidRPr="00444B9C">
        <w:rPr>
          <w:lang w:val="uk-UA"/>
        </w:rPr>
        <w:t xml:space="preserve"> МСБО 37 «</w:t>
      </w:r>
      <w:r w:rsidRPr="00444B9C">
        <w:rPr>
          <w:iCs/>
          <w:lang w:val="uk-UA"/>
        </w:rPr>
        <w:t>Забезпечення, умовні зобов'язання та умовні активи»</w:t>
      </w:r>
      <w:r w:rsidRPr="00444B9C">
        <w:rPr>
          <w:lang w:val="uk-UA"/>
        </w:rPr>
        <w:t>.</w:t>
      </w:r>
    </w:p>
    <w:p w:rsidR="00DB2E50" w:rsidRPr="00444B9C" w:rsidRDefault="00DB2E50" w:rsidP="00DA67E2">
      <w:pPr>
        <w:shd w:val="clear" w:color="auto" w:fill="FFFFFF"/>
        <w:tabs>
          <w:tab w:val="left" w:pos="0"/>
        </w:tabs>
        <w:snapToGrid w:val="0"/>
        <w:jc w:val="both"/>
        <w:rPr>
          <w:color w:val="000000"/>
          <w:lang w:val="uk-UA"/>
        </w:rPr>
      </w:pPr>
      <w:r w:rsidRPr="00444B9C">
        <w:rPr>
          <w:b/>
          <w:i/>
          <w:color w:val="000000"/>
          <w:lang w:val="uk-UA"/>
        </w:rPr>
        <w:t>Поточні зобов‘язання</w:t>
      </w:r>
      <w:r w:rsidRPr="00444B9C">
        <w:rPr>
          <w:color w:val="000000"/>
          <w:lang w:val="uk-UA"/>
        </w:rPr>
        <w:t xml:space="preserve"> Товариства за розрахунками:</w:t>
      </w:r>
    </w:p>
    <w:p w:rsidR="00DB2E50" w:rsidRPr="00444B9C" w:rsidRDefault="00DB2E50" w:rsidP="00DA67E2">
      <w:pPr>
        <w:shd w:val="clear" w:color="auto" w:fill="FFFFFF"/>
        <w:tabs>
          <w:tab w:val="left" w:pos="0"/>
        </w:tabs>
        <w:snapToGrid w:val="0"/>
        <w:jc w:val="both"/>
        <w:rPr>
          <w:color w:val="000000"/>
          <w:lang w:val="uk-UA"/>
        </w:rPr>
      </w:pPr>
      <w:r w:rsidRPr="00444B9C">
        <w:rPr>
          <w:color w:val="000000"/>
          <w:lang w:val="uk-UA"/>
        </w:rPr>
        <w:t xml:space="preserve">за </w:t>
      </w:r>
      <w:r w:rsidRPr="00444B9C">
        <w:rPr>
          <w:b/>
          <w:i/>
          <w:color w:val="000000"/>
          <w:lang w:val="uk-UA"/>
        </w:rPr>
        <w:t>товари, роботи, послуги</w:t>
      </w:r>
      <w:r w:rsidRPr="00444B9C">
        <w:rPr>
          <w:color w:val="000000"/>
          <w:lang w:val="uk-UA"/>
        </w:rPr>
        <w:t xml:space="preserve"> </w:t>
      </w:r>
      <w:r w:rsidR="005F7F60" w:rsidRPr="00444B9C">
        <w:rPr>
          <w:color w:val="000000"/>
          <w:lang w:val="uk-UA"/>
        </w:rPr>
        <w:t xml:space="preserve">станом на  31.12.2016 р. </w:t>
      </w:r>
      <w:r w:rsidR="00543A13" w:rsidRPr="00444B9C">
        <w:rPr>
          <w:color w:val="000000"/>
          <w:lang w:val="uk-UA"/>
        </w:rPr>
        <w:t>складають</w:t>
      </w:r>
      <w:r w:rsidR="00543A13">
        <w:rPr>
          <w:color w:val="000000"/>
          <w:lang w:val="uk-UA"/>
        </w:rPr>
        <w:t xml:space="preserve"> 66</w:t>
      </w:r>
      <w:r w:rsidR="00A71718">
        <w:rPr>
          <w:color w:val="000000"/>
          <w:lang w:val="uk-UA"/>
        </w:rPr>
        <w:t xml:space="preserve"> </w:t>
      </w:r>
      <w:r w:rsidR="00543A13">
        <w:rPr>
          <w:color w:val="000000"/>
          <w:lang w:val="uk-UA"/>
        </w:rPr>
        <w:t>525,0</w:t>
      </w:r>
      <w:r w:rsidR="00A71718">
        <w:rPr>
          <w:color w:val="000000"/>
          <w:lang w:val="uk-UA"/>
        </w:rPr>
        <w:t xml:space="preserve"> </w:t>
      </w:r>
      <w:r w:rsidR="00543A13">
        <w:rPr>
          <w:color w:val="000000"/>
          <w:lang w:val="uk-UA"/>
        </w:rPr>
        <w:t>тис.</w:t>
      </w:r>
      <w:r w:rsidR="00A71718">
        <w:rPr>
          <w:color w:val="000000"/>
          <w:lang w:val="uk-UA"/>
        </w:rPr>
        <w:t xml:space="preserve"> </w:t>
      </w:r>
      <w:r w:rsidR="00543A13">
        <w:rPr>
          <w:color w:val="000000"/>
          <w:lang w:val="uk-UA"/>
        </w:rPr>
        <w:t>грн.</w:t>
      </w:r>
    </w:p>
    <w:p w:rsidR="00E4380D" w:rsidRDefault="00E4380D" w:rsidP="00DA67E2">
      <w:pPr>
        <w:shd w:val="clear" w:color="auto" w:fill="FFFFFF"/>
        <w:tabs>
          <w:tab w:val="left" w:pos="0"/>
        </w:tabs>
        <w:snapToGrid w:val="0"/>
        <w:jc w:val="both"/>
        <w:rPr>
          <w:color w:val="000000"/>
          <w:lang w:val="uk-UA"/>
        </w:rPr>
      </w:pPr>
      <w:r w:rsidRPr="00444B9C">
        <w:rPr>
          <w:b/>
          <w:i/>
          <w:color w:val="000000"/>
          <w:lang w:val="uk-UA"/>
        </w:rPr>
        <w:t>за розрахунками з бюджетом</w:t>
      </w:r>
      <w:r w:rsidRPr="00444B9C">
        <w:rPr>
          <w:color w:val="000000"/>
          <w:lang w:val="uk-UA"/>
        </w:rPr>
        <w:t xml:space="preserve"> </w:t>
      </w:r>
      <w:r w:rsidR="005F7F60" w:rsidRPr="00444B9C">
        <w:rPr>
          <w:color w:val="000000"/>
          <w:lang w:val="uk-UA"/>
        </w:rPr>
        <w:t xml:space="preserve">станом на  31.12.2016 р. </w:t>
      </w:r>
      <w:r w:rsidR="00543A13" w:rsidRPr="00444B9C">
        <w:rPr>
          <w:color w:val="000000"/>
          <w:lang w:val="uk-UA"/>
        </w:rPr>
        <w:t>складають</w:t>
      </w:r>
      <w:r w:rsidR="00543A13">
        <w:rPr>
          <w:color w:val="000000"/>
          <w:lang w:val="uk-UA"/>
        </w:rPr>
        <w:t xml:space="preserve"> 35</w:t>
      </w:r>
      <w:r w:rsidRPr="00444B9C">
        <w:rPr>
          <w:color w:val="000000"/>
          <w:lang w:val="uk-UA"/>
        </w:rPr>
        <w:t>,</w:t>
      </w:r>
      <w:r w:rsidR="00543A13">
        <w:rPr>
          <w:color w:val="000000"/>
          <w:lang w:val="uk-UA"/>
        </w:rPr>
        <w:t>0</w:t>
      </w:r>
      <w:r w:rsidR="00A71718">
        <w:rPr>
          <w:color w:val="000000"/>
          <w:lang w:val="uk-UA"/>
        </w:rPr>
        <w:t xml:space="preserve"> </w:t>
      </w:r>
      <w:r w:rsidR="00543A13">
        <w:rPr>
          <w:color w:val="000000"/>
          <w:lang w:val="uk-UA"/>
        </w:rPr>
        <w:t>тис</w:t>
      </w:r>
      <w:r w:rsidR="00A71718">
        <w:rPr>
          <w:color w:val="000000"/>
          <w:lang w:val="uk-UA"/>
        </w:rPr>
        <w:t xml:space="preserve">. </w:t>
      </w:r>
      <w:r w:rsidR="00543A13">
        <w:rPr>
          <w:color w:val="000000"/>
          <w:lang w:val="uk-UA"/>
        </w:rPr>
        <w:t xml:space="preserve">грн. </w:t>
      </w:r>
    </w:p>
    <w:p w:rsidR="00543A13" w:rsidRPr="00A71718" w:rsidRDefault="00543A13" w:rsidP="00DA67E2">
      <w:pPr>
        <w:shd w:val="clear" w:color="auto" w:fill="FFFFFF"/>
        <w:tabs>
          <w:tab w:val="left" w:pos="0"/>
        </w:tabs>
        <w:snapToGrid w:val="0"/>
        <w:jc w:val="both"/>
        <w:rPr>
          <w:color w:val="000000"/>
          <w:lang w:val="uk-UA"/>
        </w:rPr>
      </w:pPr>
      <w:r>
        <w:rPr>
          <w:b/>
          <w:i/>
          <w:color w:val="000000"/>
          <w:lang w:val="uk-UA"/>
        </w:rPr>
        <w:t>в</w:t>
      </w:r>
      <w:r w:rsidRPr="00543A13">
        <w:rPr>
          <w:b/>
          <w:i/>
          <w:color w:val="000000"/>
          <w:lang w:val="uk-UA"/>
        </w:rPr>
        <w:t xml:space="preserve"> т.ч</w:t>
      </w:r>
      <w:r>
        <w:rPr>
          <w:b/>
          <w:i/>
          <w:color w:val="000000"/>
          <w:lang w:val="uk-UA"/>
        </w:rPr>
        <w:t>.</w:t>
      </w:r>
      <w:r w:rsidRPr="00543A13">
        <w:rPr>
          <w:b/>
          <w:i/>
          <w:color w:val="000000"/>
          <w:lang w:val="uk-UA"/>
        </w:rPr>
        <w:t xml:space="preserve"> податок на прибуток</w:t>
      </w:r>
      <w:r>
        <w:rPr>
          <w:b/>
          <w:i/>
          <w:color w:val="000000"/>
          <w:lang w:val="uk-UA"/>
        </w:rPr>
        <w:t xml:space="preserve"> </w:t>
      </w:r>
      <w:r w:rsidRPr="00A71718">
        <w:rPr>
          <w:color w:val="000000"/>
          <w:lang w:val="uk-UA"/>
        </w:rPr>
        <w:t>- 33,0</w:t>
      </w:r>
      <w:r w:rsidR="00A71718" w:rsidRPr="00A71718">
        <w:rPr>
          <w:color w:val="000000"/>
          <w:lang w:val="uk-UA"/>
        </w:rPr>
        <w:t xml:space="preserve"> </w:t>
      </w:r>
      <w:r w:rsidRPr="00A71718">
        <w:rPr>
          <w:color w:val="000000"/>
          <w:lang w:val="uk-UA"/>
        </w:rPr>
        <w:t>тис.</w:t>
      </w:r>
      <w:r w:rsidR="00A71718">
        <w:rPr>
          <w:color w:val="000000"/>
          <w:lang w:val="uk-UA"/>
        </w:rPr>
        <w:t xml:space="preserve"> </w:t>
      </w:r>
      <w:r w:rsidRPr="00A71718">
        <w:rPr>
          <w:color w:val="000000"/>
          <w:lang w:val="uk-UA"/>
        </w:rPr>
        <w:t>грн.</w:t>
      </w:r>
    </w:p>
    <w:p w:rsidR="00543A13" w:rsidRPr="00A71718" w:rsidRDefault="00543A13" w:rsidP="00DA67E2">
      <w:pPr>
        <w:shd w:val="clear" w:color="auto" w:fill="FFFFFF"/>
        <w:tabs>
          <w:tab w:val="left" w:pos="0"/>
        </w:tabs>
        <w:snapToGrid w:val="0"/>
        <w:jc w:val="both"/>
        <w:rPr>
          <w:color w:val="000000"/>
          <w:lang w:val="uk-UA"/>
        </w:rPr>
      </w:pPr>
      <w:r>
        <w:rPr>
          <w:b/>
          <w:i/>
          <w:color w:val="000000"/>
          <w:lang w:val="uk-UA"/>
        </w:rPr>
        <w:t xml:space="preserve">за розрахунками зі страхування </w:t>
      </w:r>
      <w:r w:rsidRPr="00A71718">
        <w:rPr>
          <w:color w:val="000000"/>
          <w:lang w:val="uk-UA"/>
        </w:rPr>
        <w:t>– 3,0 тис. грн.,</w:t>
      </w:r>
    </w:p>
    <w:p w:rsidR="00DB2E50" w:rsidRPr="00A71718" w:rsidRDefault="00DB2E50" w:rsidP="00DA67E2">
      <w:pPr>
        <w:shd w:val="clear" w:color="auto" w:fill="FFFFFF"/>
        <w:tabs>
          <w:tab w:val="left" w:pos="0"/>
        </w:tabs>
        <w:snapToGrid w:val="0"/>
        <w:jc w:val="both"/>
        <w:rPr>
          <w:color w:val="000000"/>
          <w:lang w:val="uk-UA"/>
        </w:rPr>
      </w:pPr>
      <w:r w:rsidRPr="00444B9C">
        <w:rPr>
          <w:b/>
          <w:i/>
          <w:color w:val="000000"/>
          <w:lang w:val="uk-UA"/>
        </w:rPr>
        <w:t>з оплати праці</w:t>
      </w:r>
      <w:r w:rsidRPr="00444B9C">
        <w:rPr>
          <w:color w:val="000000"/>
          <w:lang w:val="uk-UA"/>
        </w:rPr>
        <w:t xml:space="preserve"> </w:t>
      </w:r>
      <w:r w:rsidRPr="00A71718">
        <w:rPr>
          <w:color w:val="000000"/>
          <w:lang w:val="uk-UA"/>
        </w:rPr>
        <w:t>–</w:t>
      </w:r>
      <w:r w:rsidR="005F7F60" w:rsidRPr="00A71718">
        <w:rPr>
          <w:color w:val="000000"/>
          <w:lang w:val="uk-UA"/>
        </w:rPr>
        <w:t xml:space="preserve"> </w:t>
      </w:r>
      <w:r w:rsidR="00543A13" w:rsidRPr="00A71718">
        <w:rPr>
          <w:color w:val="000000"/>
          <w:lang w:val="uk-UA"/>
        </w:rPr>
        <w:t>11,0</w:t>
      </w:r>
      <w:r w:rsidRPr="00A71718">
        <w:rPr>
          <w:color w:val="000000"/>
          <w:lang w:val="uk-UA"/>
        </w:rPr>
        <w:t xml:space="preserve"> тис. грн</w:t>
      </w:r>
      <w:r w:rsidR="00E4380D" w:rsidRPr="00A71718">
        <w:rPr>
          <w:color w:val="000000"/>
          <w:lang w:val="uk-UA"/>
        </w:rPr>
        <w:t>.,</w:t>
      </w:r>
    </w:p>
    <w:p w:rsidR="00A71718" w:rsidRDefault="00A71718" w:rsidP="00DA67E2">
      <w:pPr>
        <w:pStyle w:val="a4"/>
        <w:tabs>
          <w:tab w:val="left" w:pos="0"/>
        </w:tabs>
        <w:spacing w:line="240" w:lineRule="auto"/>
        <w:ind w:firstLine="0"/>
        <w:rPr>
          <w:b/>
          <w:bCs/>
          <w:u w:val="single"/>
        </w:rPr>
      </w:pPr>
    </w:p>
    <w:p w:rsidR="00DB2E50" w:rsidRPr="00BD7F4C" w:rsidRDefault="00DB2E50" w:rsidP="00DA67E2">
      <w:pPr>
        <w:pStyle w:val="a4"/>
        <w:tabs>
          <w:tab w:val="left" w:pos="0"/>
        </w:tabs>
        <w:spacing w:line="240" w:lineRule="auto"/>
        <w:ind w:firstLine="0"/>
        <w:rPr>
          <w:b/>
          <w:bCs/>
          <w:u w:val="single"/>
        </w:rPr>
      </w:pPr>
      <w:r w:rsidRPr="00BD7F4C">
        <w:rPr>
          <w:b/>
          <w:bCs/>
          <w:u w:val="single"/>
        </w:rPr>
        <w:t>Власний капітал</w:t>
      </w:r>
    </w:p>
    <w:p w:rsidR="00DD5F85" w:rsidRPr="009C5C34" w:rsidRDefault="00DD5F85" w:rsidP="00DD5F85">
      <w:pPr>
        <w:jc w:val="both"/>
        <w:rPr>
          <w:lang w:val="uk-UA"/>
        </w:rPr>
      </w:pPr>
      <w:r w:rsidRPr="009C5C34">
        <w:rPr>
          <w:lang w:val="uk-UA"/>
        </w:rPr>
        <w:t>Власний капітал у розмірі 16</w:t>
      </w:r>
      <w:r w:rsidR="00A71718">
        <w:rPr>
          <w:lang w:val="uk-UA"/>
        </w:rPr>
        <w:t> </w:t>
      </w:r>
      <w:r w:rsidRPr="009C5C34">
        <w:rPr>
          <w:lang w:val="uk-UA"/>
        </w:rPr>
        <w:t>500</w:t>
      </w:r>
      <w:r w:rsidR="00A71718">
        <w:rPr>
          <w:lang w:val="uk-UA"/>
        </w:rPr>
        <w:t xml:space="preserve"> </w:t>
      </w:r>
      <w:r w:rsidRPr="009C5C34">
        <w:rPr>
          <w:lang w:val="uk-UA"/>
        </w:rPr>
        <w:t>тис. грн. обліковувався Товариством протягом 201</w:t>
      </w:r>
      <w:r>
        <w:rPr>
          <w:lang w:val="uk-UA"/>
        </w:rPr>
        <w:t>6</w:t>
      </w:r>
      <w:r w:rsidRPr="009C5C34">
        <w:rPr>
          <w:lang w:val="uk-UA"/>
        </w:rPr>
        <w:t xml:space="preserve"> року в цілому відповідно до норм чинного законодавства, щодо бухгалтерського обліку та фінансової звітності.</w:t>
      </w:r>
    </w:p>
    <w:p w:rsidR="00DD5F85" w:rsidRPr="009C5C34" w:rsidRDefault="00DD5F85" w:rsidP="00DD5F85">
      <w:pPr>
        <w:jc w:val="both"/>
        <w:rPr>
          <w:lang w:val="uk-UA"/>
        </w:rPr>
      </w:pPr>
      <w:r w:rsidRPr="009C5C34">
        <w:rPr>
          <w:lang w:val="uk-UA"/>
        </w:rPr>
        <w:t>Аудиторами зібрано необхідну кількість аудиторських доказів для підтвердження достовірності розміру та складу статутного капіталу в фінансовій звітності Товариства у всіх суттєвих аспектах.</w:t>
      </w:r>
    </w:p>
    <w:p w:rsidR="00DD5F85" w:rsidRPr="009C5C34" w:rsidRDefault="00DD5F85" w:rsidP="00DD5F85">
      <w:pPr>
        <w:jc w:val="both"/>
        <w:rPr>
          <w:lang w:val="uk-UA"/>
        </w:rPr>
      </w:pPr>
      <w:r w:rsidRPr="009C5C34">
        <w:rPr>
          <w:lang w:val="uk-UA"/>
        </w:rPr>
        <w:t xml:space="preserve">При зібрані доказів застосовувалися такі аудиторські процедури, як перевірка та підрахунок (обчислення). </w:t>
      </w:r>
    </w:p>
    <w:p w:rsidR="00642434" w:rsidRDefault="00DD5F85" w:rsidP="00642434">
      <w:pPr>
        <w:shd w:val="clear" w:color="auto" w:fill="FFFFFF"/>
        <w:ind w:right="11"/>
        <w:jc w:val="both"/>
        <w:rPr>
          <w:lang w:val="uk-UA"/>
        </w:rPr>
      </w:pPr>
      <w:r w:rsidRPr="009C5C34">
        <w:rPr>
          <w:lang w:val="uk-UA"/>
        </w:rPr>
        <w:t>Облік та використання коштів Товариства ведеться у відповідності з діючим законодавством.</w:t>
      </w:r>
    </w:p>
    <w:p w:rsidR="00642434" w:rsidRDefault="00DD5F85" w:rsidP="00642434">
      <w:pPr>
        <w:shd w:val="clear" w:color="auto" w:fill="FFFFFF"/>
        <w:ind w:right="11"/>
        <w:jc w:val="both"/>
        <w:rPr>
          <w:lang w:val="uk-UA"/>
        </w:rPr>
      </w:pPr>
      <w:proofErr w:type="spellStart"/>
      <w:r w:rsidRPr="009C5C34">
        <w:t>Протягом</w:t>
      </w:r>
      <w:proofErr w:type="spellEnd"/>
      <w:r w:rsidRPr="009C5C34">
        <w:t xml:space="preserve"> 201</w:t>
      </w:r>
      <w:r>
        <w:t>6</w:t>
      </w:r>
      <w:r w:rsidRPr="009C5C34">
        <w:t xml:space="preserve"> року </w:t>
      </w:r>
      <w:proofErr w:type="spellStart"/>
      <w:r w:rsidRPr="009C5C34">
        <w:t>змін</w:t>
      </w:r>
      <w:proofErr w:type="spellEnd"/>
      <w:r w:rsidRPr="009C5C34">
        <w:t xml:space="preserve"> </w:t>
      </w:r>
      <w:proofErr w:type="gramStart"/>
      <w:r w:rsidRPr="009C5C34">
        <w:t>у</w:t>
      </w:r>
      <w:proofErr w:type="gramEnd"/>
      <w:r w:rsidRPr="009C5C34">
        <w:t xml:space="preserve"> </w:t>
      </w:r>
      <w:proofErr w:type="spellStart"/>
      <w:r w:rsidRPr="009C5C34">
        <w:t>складі</w:t>
      </w:r>
      <w:proofErr w:type="spellEnd"/>
      <w:r w:rsidRPr="009C5C34">
        <w:t xml:space="preserve"> </w:t>
      </w:r>
      <w:proofErr w:type="spellStart"/>
      <w:r w:rsidRPr="009C5C34">
        <w:t>учасників</w:t>
      </w:r>
      <w:proofErr w:type="spellEnd"/>
      <w:r w:rsidRPr="009C5C34">
        <w:t xml:space="preserve"> </w:t>
      </w:r>
      <w:proofErr w:type="spellStart"/>
      <w:r w:rsidRPr="009C5C34">
        <w:t>Товариства</w:t>
      </w:r>
      <w:proofErr w:type="spellEnd"/>
      <w:r w:rsidRPr="009C5C34">
        <w:t xml:space="preserve"> - не </w:t>
      </w:r>
      <w:proofErr w:type="spellStart"/>
      <w:r w:rsidRPr="009C5C34">
        <w:t>було</w:t>
      </w:r>
      <w:proofErr w:type="spellEnd"/>
      <w:r w:rsidRPr="009C5C34">
        <w:t>.</w:t>
      </w:r>
    </w:p>
    <w:p w:rsidR="00DD5F85" w:rsidRPr="009C5C34" w:rsidRDefault="00DD5F85" w:rsidP="00642434">
      <w:pPr>
        <w:shd w:val="clear" w:color="auto" w:fill="FFFFFF"/>
        <w:ind w:right="11"/>
        <w:jc w:val="both"/>
      </w:pPr>
      <w:r w:rsidRPr="009C5C34">
        <w:t>Станом на 31.12.201</w:t>
      </w:r>
      <w:r>
        <w:t>6</w:t>
      </w:r>
      <w:r w:rsidRPr="009C5C34">
        <w:t xml:space="preserve"> року </w:t>
      </w:r>
      <w:proofErr w:type="spellStart"/>
      <w:r w:rsidRPr="009C5C34">
        <w:t>розмі</w:t>
      </w:r>
      <w:proofErr w:type="gramStart"/>
      <w:r w:rsidRPr="009C5C34">
        <w:t>р</w:t>
      </w:r>
      <w:proofErr w:type="spellEnd"/>
      <w:proofErr w:type="gramEnd"/>
      <w:r w:rsidRPr="009C5C34">
        <w:t xml:space="preserve"> </w:t>
      </w:r>
      <w:proofErr w:type="spellStart"/>
      <w:r w:rsidRPr="009C5C34">
        <w:t>заявленого</w:t>
      </w:r>
      <w:proofErr w:type="spellEnd"/>
      <w:r w:rsidRPr="009C5C34">
        <w:t xml:space="preserve"> та </w:t>
      </w:r>
      <w:proofErr w:type="spellStart"/>
      <w:r w:rsidRPr="009C5C34">
        <w:t>сплаченого</w:t>
      </w:r>
      <w:proofErr w:type="spellEnd"/>
      <w:r w:rsidRPr="009C5C34">
        <w:t xml:space="preserve"> статутного </w:t>
      </w:r>
      <w:proofErr w:type="spellStart"/>
      <w:r w:rsidRPr="009C5C34">
        <w:t>капіталу</w:t>
      </w:r>
      <w:proofErr w:type="spellEnd"/>
      <w:r w:rsidRPr="009C5C34">
        <w:t xml:space="preserve"> </w:t>
      </w:r>
      <w:proofErr w:type="spellStart"/>
      <w:r w:rsidRPr="009C5C34">
        <w:t>Товариства</w:t>
      </w:r>
      <w:proofErr w:type="spellEnd"/>
      <w:r w:rsidRPr="009C5C34">
        <w:t xml:space="preserve"> </w:t>
      </w:r>
      <w:proofErr w:type="spellStart"/>
      <w:r w:rsidRPr="009C5C34">
        <w:t>складає</w:t>
      </w:r>
      <w:proofErr w:type="spellEnd"/>
      <w:r w:rsidRPr="009C5C34">
        <w:t xml:space="preserve"> 16</w:t>
      </w:r>
      <w:r w:rsidR="00A71718">
        <w:rPr>
          <w:lang w:val="uk-UA"/>
        </w:rPr>
        <w:t xml:space="preserve"> </w:t>
      </w:r>
      <w:r w:rsidRPr="009C5C34">
        <w:t>500 тис. грн.</w:t>
      </w:r>
    </w:p>
    <w:p w:rsidR="00DD5F85" w:rsidRPr="009C5C34" w:rsidRDefault="00DD5F85" w:rsidP="00DD5F85">
      <w:pPr>
        <w:pStyle w:val="220"/>
        <w:ind w:firstLine="0"/>
        <w:rPr>
          <w:rFonts w:ascii="Times New Roman" w:hAnsi="Times New Roman"/>
          <w:b w:val="0"/>
          <w:szCs w:val="24"/>
        </w:rPr>
      </w:pPr>
      <w:r w:rsidRPr="009C5C34">
        <w:rPr>
          <w:rFonts w:ascii="Times New Roman" w:hAnsi="Times New Roman"/>
          <w:b w:val="0"/>
          <w:szCs w:val="24"/>
        </w:rPr>
        <w:t>Статутний капітал Товариства сформовано внесками Учасників Товариства виключно у грошовій</w:t>
      </w:r>
      <w:r w:rsidRPr="009C5C34">
        <w:rPr>
          <w:rFonts w:ascii="Times New Roman" w:hAnsi="Times New Roman"/>
          <w:szCs w:val="24"/>
          <w:lang w:eastAsia="uk-UA"/>
        </w:rPr>
        <w:t xml:space="preserve"> </w:t>
      </w:r>
      <w:r w:rsidRPr="009C5C34">
        <w:rPr>
          <w:rFonts w:ascii="Times New Roman" w:hAnsi="Times New Roman"/>
          <w:b w:val="0"/>
          <w:szCs w:val="24"/>
        </w:rPr>
        <w:t>формі. Протягом 201</w:t>
      </w:r>
      <w:r>
        <w:rPr>
          <w:rFonts w:ascii="Times New Roman" w:hAnsi="Times New Roman"/>
          <w:b w:val="0"/>
          <w:szCs w:val="24"/>
        </w:rPr>
        <w:t>6</w:t>
      </w:r>
      <w:r w:rsidR="00A71718">
        <w:rPr>
          <w:rFonts w:ascii="Times New Roman" w:hAnsi="Times New Roman"/>
          <w:b w:val="0"/>
          <w:szCs w:val="24"/>
        </w:rPr>
        <w:t xml:space="preserve"> </w:t>
      </w:r>
      <w:r w:rsidRPr="009C5C34">
        <w:rPr>
          <w:rFonts w:ascii="Times New Roman" w:hAnsi="Times New Roman"/>
          <w:b w:val="0"/>
          <w:szCs w:val="24"/>
        </w:rPr>
        <w:t>року змін в Статутному капіталі не було.</w:t>
      </w:r>
    </w:p>
    <w:p w:rsidR="00DD5F85" w:rsidRPr="009C5C34" w:rsidRDefault="00DD5F85" w:rsidP="00DD5F85">
      <w:pPr>
        <w:pStyle w:val="220"/>
        <w:ind w:firstLine="0"/>
        <w:rPr>
          <w:rFonts w:ascii="Times New Roman" w:hAnsi="Times New Roman"/>
          <w:b w:val="0"/>
          <w:szCs w:val="24"/>
        </w:rPr>
      </w:pPr>
      <w:r w:rsidRPr="009C5C34">
        <w:rPr>
          <w:rFonts w:ascii="Times New Roman" w:hAnsi="Times New Roman"/>
          <w:b w:val="0"/>
          <w:szCs w:val="24"/>
        </w:rPr>
        <w:t>Резервний капітал становить 60</w:t>
      </w:r>
      <w:r w:rsidR="00A71718">
        <w:rPr>
          <w:rFonts w:ascii="Times New Roman" w:hAnsi="Times New Roman"/>
          <w:b w:val="0"/>
          <w:szCs w:val="24"/>
        </w:rPr>
        <w:t xml:space="preserve"> </w:t>
      </w:r>
      <w:r w:rsidRPr="009C5C34">
        <w:rPr>
          <w:rFonts w:ascii="Times New Roman" w:hAnsi="Times New Roman"/>
          <w:b w:val="0"/>
          <w:szCs w:val="24"/>
        </w:rPr>
        <w:t>тис.</w:t>
      </w:r>
      <w:r w:rsidR="00F642E7">
        <w:rPr>
          <w:rFonts w:ascii="Times New Roman" w:hAnsi="Times New Roman"/>
          <w:b w:val="0"/>
          <w:szCs w:val="24"/>
        </w:rPr>
        <w:t xml:space="preserve"> </w:t>
      </w:r>
      <w:r w:rsidRPr="009C5C34">
        <w:rPr>
          <w:rFonts w:ascii="Times New Roman" w:hAnsi="Times New Roman"/>
          <w:b w:val="0"/>
          <w:szCs w:val="24"/>
        </w:rPr>
        <w:t>грн. і нараховується у відповідності Статуту Товариства та Законодавству.</w:t>
      </w:r>
    </w:p>
    <w:p w:rsidR="00DD5F85" w:rsidRPr="009C5C34" w:rsidRDefault="00DD5F85" w:rsidP="00DD5F85">
      <w:pPr>
        <w:pStyle w:val="220"/>
        <w:ind w:firstLine="0"/>
        <w:rPr>
          <w:rFonts w:ascii="Times New Roman" w:hAnsi="Times New Roman"/>
          <w:b w:val="0"/>
          <w:szCs w:val="24"/>
        </w:rPr>
      </w:pPr>
      <w:r>
        <w:rPr>
          <w:rFonts w:ascii="Times New Roman" w:hAnsi="Times New Roman"/>
          <w:b w:val="0"/>
          <w:szCs w:val="24"/>
        </w:rPr>
        <w:t>З</w:t>
      </w:r>
      <w:r w:rsidRPr="009C5C34">
        <w:rPr>
          <w:rFonts w:ascii="Times New Roman" w:hAnsi="Times New Roman"/>
          <w:b w:val="0"/>
          <w:szCs w:val="24"/>
        </w:rPr>
        <w:t xml:space="preserve">аборгованість учасників перед Товариством по внесках до статутного капіталу відсутня. </w:t>
      </w:r>
    </w:p>
    <w:p w:rsidR="00DD5F85" w:rsidRPr="009C5C34" w:rsidRDefault="00DD5F85" w:rsidP="00DD5F85">
      <w:pPr>
        <w:shd w:val="clear" w:color="auto" w:fill="FFFFFF"/>
        <w:snapToGrid w:val="0"/>
        <w:ind w:right="29"/>
        <w:jc w:val="both"/>
        <w:outlineLvl w:val="0"/>
        <w:rPr>
          <w:lang w:val="uk-UA"/>
        </w:rPr>
      </w:pPr>
      <w:r w:rsidRPr="009C5C34">
        <w:rPr>
          <w:lang w:val="uk-UA"/>
        </w:rPr>
        <w:t>Неоплачений капітал Товариства на кінець звітного періоду відсутній.</w:t>
      </w:r>
    </w:p>
    <w:p w:rsidR="00DD5F85" w:rsidRPr="00642434" w:rsidRDefault="00DD5F85" w:rsidP="00DD5F85">
      <w:pPr>
        <w:shd w:val="clear" w:color="auto" w:fill="FFFFFF"/>
        <w:snapToGrid w:val="0"/>
        <w:ind w:right="29"/>
        <w:jc w:val="both"/>
        <w:outlineLvl w:val="0"/>
        <w:rPr>
          <w:lang w:val="uk-UA"/>
        </w:rPr>
      </w:pPr>
      <w:r w:rsidRPr="009C5C34">
        <w:rPr>
          <w:lang w:val="uk-UA"/>
        </w:rPr>
        <w:t>Нерозподілений прибуток Товариства станом на 31.12.201</w:t>
      </w:r>
      <w:r>
        <w:rPr>
          <w:lang w:val="uk-UA"/>
        </w:rPr>
        <w:t>6</w:t>
      </w:r>
      <w:r w:rsidRPr="009C5C34">
        <w:rPr>
          <w:lang w:val="uk-UA"/>
        </w:rPr>
        <w:t xml:space="preserve">р. – </w:t>
      </w:r>
      <w:r w:rsidRPr="00642434">
        <w:rPr>
          <w:lang w:val="uk-UA"/>
        </w:rPr>
        <w:t xml:space="preserve">збиток в розмірі 10132 тис. </w:t>
      </w:r>
      <w:r w:rsidR="00A71718">
        <w:rPr>
          <w:lang w:val="uk-UA"/>
        </w:rPr>
        <w:t>грн.</w:t>
      </w:r>
    </w:p>
    <w:p w:rsidR="00A71718" w:rsidRDefault="00A71718" w:rsidP="00DA67E2">
      <w:pPr>
        <w:shd w:val="clear" w:color="auto" w:fill="FFFFFF"/>
        <w:tabs>
          <w:tab w:val="left" w:pos="0"/>
        </w:tabs>
        <w:jc w:val="both"/>
        <w:rPr>
          <w:b/>
          <w:color w:val="000000"/>
          <w:u w:val="single"/>
          <w:lang w:val="uk-UA"/>
        </w:rPr>
      </w:pPr>
    </w:p>
    <w:p w:rsidR="00DB2E50" w:rsidRPr="00444B9C" w:rsidRDefault="00DB2E50" w:rsidP="00DA67E2">
      <w:pPr>
        <w:shd w:val="clear" w:color="auto" w:fill="FFFFFF"/>
        <w:tabs>
          <w:tab w:val="left" w:pos="0"/>
        </w:tabs>
        <w:jc w:val="both"/>
        <w:rPr>
          <w:b/>
          <w:color w:val="000000"/>
          <w:u w:val="single"/>
          <w:lang w:val="uk-UA"/>
        </w:rPr>
      </w:pPr>
      <w:r w:rsidRPr="00444B9C">
        <w:rPr>
          <w:b/>
          <w:color w:val="000000"/>
          <w:u w:val="single"/>
          <w:lang w:val="uk-UA"/>
        </w:rPr>
        <w:t xml:space="preserve">Облік фінансових результатів </w:t>
      </w:r>
      <w:r w:rsidR="0022673F" w:rsidRPr="00444B9C">
        <w:rPr>
          <w:b/>
          <w:color w:val="000000"/>
          <w:u w:val="single"/>
          <w:lang w:val="uk-UA"/>
        </w:rPr>
        <w:t>за 2016 рік</w:t>
      </w:r>
    </w:p>
    <w:p w:rsidR="0022673F" w:rsidRPr="00444B9C" w:rsidRDefault="0022673F" w:rsidP="00DA67E2">
      <w:pPr>
        <w:shd w:val="clear" w:color="auto" w:fill="FFFFFF"/>
        <w:tabs>
          <w:tab w:val="left" w:pos="0"/>
        </w:tabs>
        <w:jc w:val="both"/>
        <w:rPr>
          <w:b/>
          <w:color w:val="000000"/>
          <w:u w:val="single"/>
          <w:lang w:val="uk-UA"/>
        </w:rPr>
      </w:pPr>
    </w:p>
    <w:p w:rsidR="00CE2F85" w:rsidRPr="00444B9C" w:rsidRDefault="0022673F" w:rsidP="00CE2F85">
      <w:pPr>
        <w:shd w:val="clear" w:color="auto" w:fill="FFFFFF"/>
        <w:tabs>
          <w:tab w:val="left" w:pos="0"/>
        </w:tabs>
        <w:jc w:val="both"/>
        <w:rPr>
          <w:color w:val="000000"/>
          <w:lang w:val="uk-UA"/>
        </w:rPr>
      </w:pPr>
      <w:r w:rsidRPr="00444B9C">
        <w:rPr>
          <w:b/>
          <w:color w:val="000000"/>
          <w:lang w:val="uk-UA"/>
        </w:rPr>
        <w:t>О</w:t>
      </w:r>
      <w:r w:rsidR="00DB2E50" w:rsidRPr="00444B9C">
        <w:rPr>
          <w:b/>
          <w:color w:val="000000"/>
          <w:lang w:val="uk-UA"/>
        </w:rPr>
        <w:t>блік доходів</w:t>
      </w:r>
      <w:r w:rsidR="00DB2E50" w:rsidRPr="00444B9C">
        <w:rPr>
          <w:color w:val="000000"/>
          <w:lang w:val="uk-UA"/>
        </w:rPr>
        <w:t xml:space="preserve"> </w:t>
      </w:r>
    </w:p>
    <w:p w:rsidR="00BF0C48" w:rsidRDefault="00BF0C48" w:rsidP="00BF0C48">
      <w:pPr>
        <w:jc w:val="both"/>
        <w:rPr>
          <w:lang w:val="uk-UA"/>
        </w:rPr>
      </w:pPr>
      <w:r w:rsidRPr="009C5C34">
        <w:rPr>
          <w:lang w:val="uk-UA"/>
        </w:rPr>
        <w:t>Товариство дотримується вимого МСФО 18 «Дохід», а саме: дохід визнається за принципом нарахування, коли є впевненість, що в результаті операції відбудеться збільшення економічних вигід Товариства, а сума доходу може бути достовірно визначена. Дохід визначається без податку на додану вартість, інших податків з продажу та знижок. Дохід визнається, коли відбулося відвантаження і значні ризики та вигоди, пов’язані з правом власності на товари, переходять до покупця.</w:t>
      </w:r>
    </w:p>
    <w:p w:rsidR="00BF0C48" w:rsidRDefault="00BF0C48" w:rsidP="00BF0C48">
      <w:pPr>
        <w:jc w:val="both"/>
        <w:rPr>
          <w:lang w:val="uk-UA"/>
        </w:rPr>
      </w:pPr>
      <w:r>
        <w:rPr>
          <w:lang w:val="uk-UA"/>
        </w:rPr>
        <w:t>Чистий дохід від реалізації</w:t>
      </w:r>
      <w:r w:rsidR="00A71718">
        <w:rPr>
          <w:lang w:val="uk-UA"/>
        </w:rPr>
        <w:t xml:space="preserve"> продукції </w:t>
      </w:r>
      <w:r>
        <w:rPr>
          <w:lang w:val="uk-UA"/>
        </w:rPr>
        <w:t>(товарів,</w:t>
      </w:r>
      <w:r w:rsidR="00A71718">
        <w:rPr>
          <w:lang w:val="uk-UA"/>
        </w:rPr>
        <w:t xml:space="preserve"> </w:t>
      </w:r>
      <w:r>
        <w:rPr>
          <w:lang w:val="uk-UA"/>
        </w:rPr>
        <w:t>робіт,</w:t>
      </w:r>
      <w:r w:rsidR="00A71718">
        <w:rPr>
          <w:lang w:val="uk-UA"/>
        </w:rPr>
        <w:t xml:space="preserve"> </w:t>
      </w:r>
      <w:r>
        <w:rPr>
          <w:lang w:val="uk-UA"/>
        </w:rPr>
        <w:t>послуг) становить -77</w:t>
      </w:r>
      <w:r w:rsidR="00A71718">
        <w:rPr>
          <w:lang w:val="uk-UA"/>
        </w:rPr>
        <w:t xml:space="preserve"> </w:t>
      </w:r>
      <w:r>
        <w:rPr>
          <w:lang w:val="uk-UA"/>
        </w:rPr>
        <w:t>711тис.грн.</w:t>
      </w:r>
    </w:p>
    <w:p w:rsidR="00BF0C48" w:rsidRPr="009C5C34" w:rsidRDefault="00BF0C48" w:rsidP="00BF0C48">
      <w:pPr>
        <w:jc w:val="both"/>
        <w:rPr>
          <w:lang w:val="uk-UA"/>
        </w:rPr>
      </w:pPr>
      <w:r>
        <w:rPr>
          <w:lang w:val="uk-UA"/>
        </w:rPr>
        <w:t>Інший операційний дохід становить -395</w:t>
      </w:r>
      <w:r w:rsidR="00A71718">
        <w:rPr>
          <w:lang w:val="uk-UA"/>
        </w:rPr>
        <w:t xml:space="preserve"> </w:t>
      </w:r>
      <w:r>
        <w:rPr>
          <w:lang w:val="uk-UA"/>
        </w:rPr>
        <w:t>тис.</w:t>
      </w:r>
      <w:r w:rsidR="00A71718">
        <w:rPr>
          <w:lang w:val="uk-UA"/>
        </w:rPr>
        <w:t xml:space="preserve"> грн.</w:t>
      </w:r>
    </w:p>
    <w:p w:rsidR="00CE2F85" w:rsidRPr="00444B9C" w:rsidRDefault="00CE2F85" w:rsidP="00CE2F85">
      <w:pPr>
        <w:widowControl w:val="0"/>
        <w:tabs>
          <w:tab w:val="left" w:pos="0"/>
        </w:tabs>
        <w:jc w:val="both"/>
        <w:rPr>
          <w:lang w:val="uk-UA"/>
        </w:rPr>
      </w:pPr>
      <w:r w:rsidRPr="00444B9C">
        <w:rPr>
          <w:b/>
          <w:lang w:val="uk-UA"/>
        </w:rPr>
        <w:t>Облік витрат</w:t>
      </w:r>
    </w:p>
    <w:p w:rsidR="00CE2F85" w:rsidRPr="00444B9C" w:rsidRDefault="00DB2E50" w:rsidP="001131E6">
      <w:pPr>
        <w:widowControl w:val="0"/>
        <w:tabs>
          <w:tab w:val="left" w:pos="0"/>
        </w:tabs>
        <w:jc w:val="both"/>
        <w:rPr>
          <w:lang w:val="uk-UA"/>
        </w:rPr>
      </w:pPr>
      <w:r w:rsidRPr="00444B9C">
        <w:rPr>
          <w:lang w:val="uk-UA"/>
        </w:rPr>
        <w:t xml:space="preserve">Витрати </w:t>
      </w:r>
      <w:r w:rsidR="00CE2F85" w:rsidRPr="00444B9C">
        <w:rPr>
          <w:lang w:val="uk-UA"/>
        </w:rPr>
        <w:t>Товариства в 2016 році обліковувались у відповідності до вимог МСБО.</w:t>
      </w:r>
    </w:p>
    <w:p w:rsidR="00CE2F85" w:rsidRPr="00444B9C" w:rsidRDefault="00CE2F85" w:rsidP="001131E6">
      <w:pPr>
        <w:widowControl w:val="0"/>
        <w:tabs>
          <w:tab w:val="left" w:pos="0"/>
        </w:tabs>
        <w:jc w:val="both"/>
        <w:rPr>
          <w:lang w:val="uk-UA"/>
        </w:rPr>
      </w:pPr>
      <w:r w:rsidRPr="00444B9C">
        <w:rPr>
          <w:lang w:val="uk-UA"/>
        </w:rPr>
        <w:t>Товариством застосована подвійна класифікація витрат за статтями та видами витрат.</w:t>
      </w:r>
    </w:p>
    <w:p w:rsidR="00CE2F85" w:rsidRPr="00444B9C" w:rsidRDefault="00CE2F85" w:rsidP="001131E6">
      <w:pPr>
        <w:widowControl w:val="0"/>
        <w:tabs>
          <w:tab w:val="left" w:pos="0"/>
        </w:tabs>
        <w:jc w:val="both"/>
        <w:rPr>
          <w:lang w:val="uk-UA"/>
        </w:rPr>
      </w:pPr>
      <w:r w:rsidRPr="00444B9C">
        <w:rPr>
          <w:b/>
          <w:i/>
          <w:lang w:val="uk-UA"/>
        </w:rPr>
        <w:t>Собівартість</w:t>
      </w:r>
      <w:r w:rsidRPr="00444B9C">
        <w:rPr>
          <w:lang w:val="uk-UA"/>
        </w:rPr>
        <w:t xml:space="preserve"> </w:t>
      </w:r>
      <w:r w:rsidR="00571491">
        <w:rPr>
          <w:lang w:val="uk-UA"/>
        </w:rPr>
        <w:t>реалізован</w:t>
      </w:r>
      <w:r w:rsidR="00BF0C48">
        <w:rPr>
          <w:lang w:val="uk-UA"/>
        </w:rPr>
        <w:t>ої</w:t>
      </w:r>
      <w:r w:rsidR="00571491">
        <w:rPr>
          <w:lang w:val="uk-UA"/>
        </w:rPr>
        <w:t xml:space="preserve"> </w:t>
      </w:r>
      <w:r w:rsidR="00BF0C48">
        <w:rPr>
          <w:lang w:val="uk-UA"/>
        </w:rPr>
        <w:t>продукції (товарів,</w:t>
      </w:r>
      <w:r w:rsidR="00A71718">
        <w:rPr>
          <w:lang w:val="uk-UA"/>
        </w:rPr>
        <w:t xml:space="preserve"> </w:t>
      </w:r>
      <w:r w:rsidR="00BF0C48">
        <w:rPr>
          <w:lang w:val="uk-UA"/>
        </w:rPr>
        <w:t>робіт,</w:t>
      </w:r>
      <w:r w:rsidR="00A71718">
        <w:rPr>
          <w:lang w:val="uk-UA"/>
        </w:rPr>
        <w:t xml:space="preserve"> </w:t>
      </w:r>
      <w:r w:rsidR="00BF0C48">
        <w:rPr>
          <w:lang w:val="uk-UA"/>
        </w:rPr>
        <w:t>послуг)</w:t>
      </w:r>
      <w:r w:rsidR="00571491">
        <w:rPr>
          <w:lang w:val="uk-UA"/>
        </w:rPr>
        <w:t xml:space="preserve"> становила </w:t>
      </w:r>
      <w:r w:rsidR="00BF0C48">
        <w:rPr>
          <w:lang w:val="uk-UA"/>
        </w:rPr>
        <w:t>77</w:t>
      </w:r>
      <w:r w:rsidR="00A71718">
        <w:rPr>
          <w:lang w:val="uk-UA"/>
        </w:rPr>
        <w:t xml:space="preserve"> </w:t>
      </w:r>
      <w:r w:rsidR="00BF0C48">
        <w:rPr>
          <w:lang w:val="uk-UA"/>
        </w:rPr>
        <w:t>613</w:t>
      </w:r>
      <w:r w:rsidR="00571491">
        <w:rPr>
          <w:lang w:val="uk-UA"/>
        </w:rPr>
        <w:t xml:space="preserve"> тис</w:t>
      </w:r>
      <w:r w:rsidRPr="00444B9C">
        <w:rPr>
          <w:lang w:val="uk-UA"/>
        </w:rPr>
        <w:t>.</w:t>
      </w:r>
      <w:r w:rsidR="00571491">
        <w:rPr>
          <w:lang w:val="uk-UA"/>
        </w:rPr>
        <w:t xml:space="preserve"> грн.</w:t>
      </w:r>
      <w:r w:rsidRPr="00444B9C">
        <w:rPr>
          <w:lang w:val="uk-UA"/>
        </w:rPr>
        <w:t xml:space="preserve">, </w:t>
      </w:r>
      <w:r w:rsidRPr="00444B9C">
        <w:rPr>
          <w:b/>
          <w:i/>
          <w:lang w:val="uk-UA"/>
        </w:rPr>
        <w:t>адміністративні витрати</w:t>
      </w:r>
      <w:r w:rsidRPr="00444B9C">
        <w:rPr>
          <w:lang w:val="uk-UA"/>
        </w:rPr>
        <w:t xml:space="preserve"> </w:t>
      </w:r>
      <w:r w:rsidR="00BF0C48">
        <w:rPr>
          <w:lang w:val="uk-UA"/>
        </w:rPr>
        <w:t>279</w:t>
      </w:r>
      <w:r w:rsidR="00571491">
        <w:rPr>
          <w:lang w:val="uk-UA"/>
        </w:rPr>
        <w:t xml:space="preserve"> тис. грн.</w:t>
      </w:r>
      <w:r w:rsidR="001131E6" w:rsidRPr="00444B9C">
        <w:rPr>
          <w:lang w:val="uk-UA"/>
        </w:rPr>
        <w:t xml:space="preserve">, </w:t>
      </w:r>
      <w:r w:rsidR="00BB6EF4">
        <w:rPr>
          <w:lang w:val="uk-UA"/>
        </w:rPr>
        <w:t xml:space="preserve"> </w:t>
      </w:r>
      <w:r w:rsidR="00BB6EF4">
        <w:rPr>
          <w:b/>
          <w:i/>
          <w:lang w:val="uk-UA"/>
        </w:rPr>
        <w:t xml:space="preserve"> </w:t>
      </w:r>
      <w:r w:rsidR="00BB6EF4">
        <w:rPr>
          <w:lang w:val="uk-UA"/>
        </w:rPr>
        <w:t xml:space="preserve"> </w:t>
      </w:r>
      <w:r w:rsidR="001131E6" w:rsidRPr="00444B9C">
        <w:rPr>
          <w:b/>
          <w:i/>
          <w:lang w:val="uk-UA"/>
        </w:rPr>
        <w:t>витрати</w:t>
      </w:r>
      <w:r w:rsidR="00BB6EF4">
        <w:rPr>
          <w:b/>
          <w:i/>
          <w:lang w:val="uk-UA"/>
        </w:rPr>
        <w:t xml:space="preserve"> від  участі в капіталі  -</w:t>
      </w:r>
      <w:r w:rsidR="00BB6EF4" w:rsidRPr="00BB6EF4">
        <w:rPr>
          <w:i/>
          <w:lang w:val="uk-UA"/>
        </w:rPr>
        <w:t>8</w:t>
      </w:r>
      <w:r w:rsidR="00BB6EF4">
        <w:rPr>
          <w:i/>
          <w:lang w:val="uk-UA"/>
        </w:rPr>
        <w:t>тис.грн.,</w:t>
      </w:r>
      <w:r w:rsidR="00571491">
        <w:rPr>
          <w:b/>
          <w:i/>
          <w:lang w:val="uk-UA"/>
        </w:rPr>
        <w:t xml:space="preserve"> </w:t>
      </w:r>
      <w:r w:rsidR="00BB6EF4">
        <w:rPr>
          <w:b/>
          <w:i/>
          <w:lang w:val="uk-UA"/>
        </w:rPr>
        <w:t xml:space="preserve">інші витрати </w:t>
      </w:r>
      <w:r w:rsidR="00BB6EF4" w:rsidRPr="00A71718">
        <w:rPr>
          <w:lang w:val="uk-UA"/>
        </w:rPr>
        <w:t>10</w:t>
      </w:r>
      <w:r w:rsidR="00A71718" w:rsidRPr="00A71718">
        <w:rPr>
          <w:lang w:val="uk-UA"/>
        </w:rPr>
        <w:t xml:space="preserve"> </w:t>
      </w:r>
      <w:r w:rsidR="00BB6EF4" w:rsidRPr="00A71718">
        <w:rPr>
          <w:lang w:val="uk-UA"/>
        </w:rPr>
        <w:t>665,0</w:t>
      </w:r>
      <w:r w:rsidR="00A71718" w:rsidRPr="00A71718">
        <w:rPr>
          <w:lang w:val="uk-UA"/>
        </w:rPr>
        <w:t xml:space="preserve"> </w:t>
      </w:r>
      <w:r w:rsidR="00BB6EF4" w:rsidRPr="00A71718">
        <w:rPr>
          <w:lang w:val="uk-UA"/>
        </w:rPr>
        <w:t>тис.</w:t>
      </w:r>
      <w:r w:rsidR="00A71718">
        <w:rPr>
          <w:lang w:val="uk-UA"/>
        </w:rPr>
        <w:t xml:space="preserve"> </w:t>
      </w:r>
      <w:r w:rsidR="00BB6EF4" w:rsidRPr="00A71718">
        <w:rPr>
          <w:lang w:val="uk-UA"/>
        </w:rPr>
        <w:t>грн</w:t>
      </w:r>
      <w:r w:rsidR="00BB6EF4">
        <w:rPr>
          <w:b/>
          <w:i/>
          <w:lang w:val="uk-UA"/>
        </w:rPr>
        <w:t>.,</w:t>
      </w:r>
      <w:r w:rsidR="00A71718">
        <w:rPr>
          <w:b/>
          <w:i/>
          <w:lang w:val="uk-UA"/>
        </w:rPr>
        <w:t xml:space="preserve"> </w:t>
      </w:r>
      <w:r w:rsidR="00571491">
        <w:rPr>
          <w:b/>
          <w:i/>
          <w:lang w:val="uk-UA"/>
        </w:rPr>
        <w:t>з податку на прибуток</w:t>
      </w:r>
      <w:r w:rsidR="001131E6" w:rsidRPr="00444B9C">
        <w:rPr>
          <w:lang w:val="uk-UA"/>
        </w:rPr>
        <w:t xml:space="preserve"> </w:t>
      </w:r>
      <w:r w:rsidR="00BB6EF4">
        <w:rPr>
          <w:lang w:val="uk-UA"/>
        </w:rPr>
        <w:t>38</w:t>
      </w:r>
      <w:r w:rsidR="001131E6" w:rsidRPr="00444B9C">
        <w:rPr>
          <w:lang w:val="uk-UA"/>
        </w:rPr>
        <w:t xml:space="preserve"> тис. грн. </w:t>
      </w:r>
    </w:p>
    <w:p w:rsidR="00DB2E50" w:rsidRDefault="001131E6" w:rsidP="00571491">
      <w:pPr>
        <w:tabs>
          <w:tab w:val="left" w:pos="0"/>
        </w:tabs>
        <w:jc w:val="both"/>
        <w:rPr>
          <w:i/>
          <w:lang w:val="uk-UA"/>
        </w:rPr>
      </w:pPr>
      <w:r w:rsidRPr="00444B9C">
        <w:rPr>
          <w:lang w:val="uk-UA"/>
        </w:rPr>
        <w:t>Дані звітності щодо доходів та витрат відповідають даним обліку Товариства</w:t>
      </w:r>
      <w:r w:rsidR="001F73FD" w:rsidRPr="00444B9C">
        <w:rPr>
          <w:lang w:val="uk-UA"/>
        </w:rPr>
        <w:t xml:space="preserve">. </w:t>
      </w:r>
    </w:p>
    <w:p w:rsidR="00BF0C48" w:rsidRPr="009C5C34" w:rsidRDefault="00BF0C48" w:rsidP="00BF0C48">
      <w:pPr>
        <w:jc w:val="both"/>
        <w:rPr>
          <w:lang w:val="uk-UA"/>
        </w:rPr>
      </w:pPr>
      <w:r w:rsidRPr="009C5C34">
        <w:rPr>
          <w:lang w:val="uk-UA"/>
        </w:rPr>
        <w:t>За результатами фінансово-господарської діяльності за 201</w:t>
      </w:r>
      <w:r>
        <w:rPr>
          <w:lang w:val="uk-UA"/>
        </w:rPr>
        <w:t>6</w:t>
      </w:r>
      <w:r w:rsidRPr="009C5C34">
        <w:rPr>
          <w:lang w:val="uk-UA"/>
        </w:rPr>
        <w:t xml:space="preserve"> рік Товариством отримано чистий </w:t>
      </w:r>
      <w:r>
        <w:rPr>
          <w:lang w:val="uk-UA"/>
        </w:rPr>
        <w:t>збиток</w:t>
      </w:r>
      <w:r w:rsidRPr="009C5C34">
        <w:rPr>
          <w:lang w:val="uk-UA"/>
        </w:rPr>
        <w:t xml:space="preserve"> у розмірі </w:t>
      </w:r>
      <w:r>
        <w:rPr>
          <w:lang w:val="uk-UA"/>
        </w:rPr>
        <w:t>10</w:t>
      </w:r>
      <w:r w:rsidR="00A71718">
        <w:rPr>
          <w:lang w:val="uk-UA"/>
        </w:rPr>
        <w:t xml:space="preserve"> </w:t>
      </w:r>
      <w:r>
        <w:rPr>
          <w:lang w:val="uk-UA"/>
        </w:rPr>
        <w:t>497</w:t>
      </w:r>
      <w:r w:rsidRPr="009C5C34">
        <w:rPr>
          <w:lang w:val="uk-UA"/>
        </w:rPr>
        <w:t>тис. грн.</w:t>
      </w:r>
    </w:p>
    <w:p w:rsidR="00BF0C48" w:rsidRDefault="00BF0C48" w:rsidP="00BF0C48">
      <w:pPr>
        <w:jc w:val="both"/>
        <w:rPr>
          <w:lang w:val="uk-UA"/>
        </w:rPr>
      </w:pPr>
      <w:r w:rsidRPr="009C5C34">
        <w:rPr>
          <w:lang w:val="uk-UA"/>
        </w:rPr>
        <w:t xml:space="preserve">Сукупний дохід  становить </w:t>
      </w:r>
      <w:r w:rsidR="00A71718">
        <w:rPr>
          <w:lang w:val="uk-UA"/>
        </w:rPr>
        <w:t>-</w:t>
      </w:r>
      <w:r>
        <w:rPr>
          <w:lang w:val="uk-UA"/>
        </w:rPr>
        <w:t>10</w:t>
      </w:r>
      <w:r w:rsidR="00A71718">
        <w:rPr>
          <w:lang w:val="uk-UA"/>
        </w:rPr>
        <w:t xml:space="preserve"> </w:t>
      </w:r>
      <w:r>
        <w:rPr>
          <w:lang w:val="uk-UA"/>
        </w:rPr>
        <w:t>497</w:t>
      </w:r>
      <w:r w:rsidRPr="009C5C34">
        <w:rPr>
          <w:lang w:val="uk-UA"/>
        </w:rPr>
        <w:t>тис.грн.</w:t>
      </w:r>
    </w:p>
    <w:p w:rsidR="00BF0C48" w:rsidRDefault="00BF0C48" w:rsidP="00BF0C48">
      <w:pPr>
        <w:jc w:val="both"/>
        <w:rPr>
          <w:lang w:val="uk-UA"/>
        </w:rPr>
      </w:pPr>
      <w:r w:rsidRPr="009C5C34">
        <w:rPr>
          <w:lang w:val="uk-UA"/>
        </w:rPr>
        <w:lastRenderedPageBreak/>
        <w:t>Зазначені показники визначені достовірно, про що свідчать дані аналітичного та синтетичного обліку.</w:t>
      </w:r>
    </w:p>
    <w:p w:rsidR="00A71718" w:rsidRPr="009C5C34" w:rsidRDefault="00A71718" w:rsidP="00BF0C48">
      <w:pPr>
        <w:jc w:val="both"/>
        <w:rPr>
          <w:lang w:val="uk-UA"/>
        </w:rPr>
      </w:pPr>
    </w:p>
    <w:p w:rsidR="00642434" w:rsidRDefault="00BE2132" w:rsidP="00642434">
      <w:pPr>
        <w:shd w:val="clear" w:color="auto" w:fill="FFFFFF"/>
        <w:tabs>
          <w:tab w:val="left" w:pos="0"/>
        </w:tabs>
        <w:rPr>
          <w:b/>
          <w:color w:val="000000"/>
          <w:lang w:val="uk-UA"/>
        </w:rPr>
      </w:pPr>
      <w:r w:rsidRPr="00444B9C">
        <w:rPr>
          <w:b/>
          <w:color w:val="000000"/>
          <w:lang w:val="uk-UA"/>
        </w:rPr>
        <w:t>2</w:t>
      </w:r>
      <w:r w:rsidR="00DB2E50" w:rsidRPr="00444B9C">
        <w:rPr>
          <w:b/>
          <w:color w:val="000000"/>
          <w:lang w:val="uk-UA"/>
        </w:rPr>
        <w:t>.</w:t>
      </w:r>
      <w:r w:rsidRPr="00444B9C">
        <w:rPr>
          <w:b/>
          <w:color w:val="000000"/>
          <w:lang w:val="uk-UA"/>
        </w:rPr>
        <w:t>5.</w:t>
      </w:r>
      <w:r w:rsidR="00DB2E50" w:rsidRPr="00444B9C">
        <w:rPr>
          <w:b/>
          <w:color w:val="000000"/>
          <w:lang w:val="uk-UA"/>
        </w:rPr>
        <w:t xml:space="preserve">  Основні відомості про аудиторську фірму та умови договору </w:t>
      </w:r>
    </w:p>
    <w:p w:rsidR="00642434" w:rsidRDefault="005D162A" w:rsidP="00642434">
      <w:pPr>
        <w:shd w:val="clear" w:color="auto" w:fill="FFFFFF"/>
        <w:tabs>
          <w:tab w:val="left" w:pos="0"/>
        </w:tabs>
        <w:rPr>
          <w:lang w:val="uk-UA"/>
        </w:rPr>
      </w:pPr>
      <w:r w:rsidRPr="00444B9C">
        <w:rPr>
          <w:color w:val="000000"/>
          <w:lang w:val="uk-UA"/>
        </w:rPr>
        <w:t xml:space="preserve">ТОВ «Міжнародний фінансовий аудит», код ЄДРПОУ </w:t>
      </w:r>
      <w:r w:rsidRPr="00444B9C">
        <w:rPr>
          <w:lang w:val="uk-UA"/>
        </w:rPr>
        <w:t xml:space="preserve">37024556. </w:t>
      </w:r>
    </w:p>
    <w:p w:rsidR="005D162A" w:rsidRPr="00444B9C" w:rsidRDefault="005D162A" w:rsidP="00642434">
      <w:pPr>
        <w:shd w:val="clear" w:color="auto" w:fill="FFFFFF"/>
        <w:tabs>
          <w:tab w:val="left" w:pos="0"/>
        </w:tabs>
        <w:rPr>
          <w:lang w:val="uk-UA"/>
        </w:rPr>
      </w:pPr>
      <w:r w:rsidRPr="00444B9C">
        <w:rPr>
          <w:lang w:val="uk-UA"/>
        </w:rPr>
        <w:t>Аудиторська фірма  здійснює діяльність на підставі:</w:t>
      </w:r>
    </w:p>
    <w:p w:rsidR="005D162A" w:rsidRPr="00444B9C" w:rsidRDefault="005D162A" w:rsidP="005D162A">
      <w:pPr>
        <w:autoSpaceDE w:val="0"/>
        <w:autoSpaceDN w:val="0"/>
        <w:adjustRightInd w:val="0"/>
        <w:ind w:firstLine="720"/>
        <w:jc w:val="both"/>
        <w:rPr>
          <w:lang w:val="uk-UA"/>
        </w:rPr>
      </w:pPr>
      <w:r w:rsidRPr="00444B9C">
        <w:rPr>
          <w:lang w:val="uk-UA"/>
        </w:rPr>
        <w:t xml:space="preserve">- Свідоцтва про внесення до Реєстру суб’єктів аудиторської діяльності № 4352, виданого згідно з рішенням Аудиторської палати України від 25 березня 2010 року № 212/4 та подовженого рішенням Аудиторської палати України від 26 березня 2015 року № 309/3 до 26 березня 2020 року, </w:t>
      </w:r>
    </w:p>
    <w:p w:rsidR="005D162A" w:rsidRPr="00444B9C" w:rsidRDefault="005D162A" w:rsidP="005D162A">
      <w:pPr>
        <w:autoSpaceDE w:val="0"/>
        <w:autoSpaceDN w:val="0"/>
        <w:adjustRightInd w:val="0"/>
        <w:ind w:firstLine="720"/>
        <w:jc w:val="both"/>
        <w:rPr>
          <w:lang w:val="uk-UA"/>
        </w:rPr>
      </w:pPr>
      <w:r w:rsidRPr="00444B9C">
        <w:rPr>
          <w:lang w:val="uk-UA"/>
        </w:rPr>
        <w:t>- Свідоцтво Національної комісії з цінних паперів та фондового ринку про внесення до реєстру аудиторських фірм, які можуть проводити аудиторські перевірки професійних учасників ринку цінних паперів, Реєстраційний номер Свідоцтва: 394. Серія та номер Свідоцтва: П000394. Строк дії Свідоцтва: з 30.11.2016р. до 26.03.2020р.),</w:t>
      </w:r>
    </w:p>
    <w:p w:rsidR="005D162A" w:rsidRPr="00444B9C" w:rsidRDefault="00BC6007" w:rsidP="001F1E01">
      <w:pPr>
        <w:ind w:firstLine="708"/>
        <w:jc w:val="both"/>
        <w:rPr>
          <w:lang w:val="uk-UA"/>
        </w:rPr>
      </w:pPr>
      <w:r w:rsidRPr="00444B9C">
        <w:rPr>
          <w:lang w:val="uk-UA"/>
        </w:rPr>
        <w:t>- Свідоцтво Національної комісії, що здійснює державне регулювання у сфері ринків фінансових послуг  про включення до реєстру аудиторських фірм та аудиторів, які можуть проводити аудиторські перевірки фінансових установ. Реєстраційний номер Свідоцтва: 000170. Відповідно до розпорядження від 10.01.2017 року № 11. Свідоцтво чинне з 10 січня 2017 р. до 26 березня 2020 р.</w:t>
      </w:r>
    </w:p>
    <w:p w:rsidR="005D162A" w:rsidRPr="00444B9C" w:rsidRDefault="005D162A" w:rsidP="005D162A">
      <w:pPr>
        <w:shd w:val="clear" w:color="auto" w:fill="FFFFFF"/>
        <w:ind w:right="74" w:firstLine="720"/>
        <w:jc w:val="both"/>
        <w:rPr>
          <w:bCs/>
          <w:lang w:val="uk-UA"/>
        </w:rPr>
      </w:pPr>
      <w:r w:rsidRPr="00444B9C">
        <w:rPr>
          <w:bCs/>
          <w:lang w:val="uk-UA"/>
        </w:rPr>
        <w:t xml:space="preserve">Аудитори: </w:t>
      </w:r>
    </w:p>
    <w:p w:rsidR="00BB6EF4" w:rsidRPr="00BB6EF4" w:rsidRDefault="00BB6EF4" w:rsidP="00BB6EF4">
      <w:pPr>
        <w:pStyle w:val="22"/>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i/>
        </w:rPr>
      </w:pPr>
      <w:proofErr w:type="spellStart"/>
      <w:r w:rsidRPr="00BB6EF4">
        <w:rPr>
          <w:i/>
        </w:rPr>
        <w:t>Від</w:t>
      </w:r>
      <w:proofErr w:type="spellEnd"/>
      <w:r w:rsidRPr="00BB6EF4">
        <w:rPr>
          <w:i/>
        </w:rPr>
        <w:t xml:space="preserve"> </w:t>
      </w:r>
      <w:proofErr w:type="spellStart"/>
      <w:r w:rsidRPr="00BB6EF4">
        <w:rPr>
          <w:i/>
        </w:rPr>
        <w:t>імені</w:t>
      </w:r>
      <w:proofErr w:type="spellEnd"/>
      <w:r w:rsidRPr="00BB6EF4">
        <w:rPr>
          <w:i/>
        </w:rPr>
        <w:t xml:space="preserve"> </w:t>
      </w:r>
      <w:proofErr w:type="spellStart"/>
      <w:r w:rsidRPr="00BB6EF4">
        <w:rPr>
          <w:i/>
        </w:rPr>
        <w:t>фірми</w:t>
      </w:r>
      <w:proofErr w:type="spellEnd"/>
      <w:r w:rsidRPr="00BB6EF4">
        <w:rPr>
          <w:i/>
        </w:rPr>
        <w:t xml:space="preserve"> </w:t>
      </w:r>
      <w:proofErr w:type="spellStart"/>
      <w:r w:rsidRPr="00BB6EF4">
        <w:rPr>
          <w:i/>
        </w:rPr>
        <w:t>аудиторський</w:t>
      </w:r>
      <w:proofErr w:type="spellEnd"/>
      <w:r w:rsidRPr="00BB6EF4">
        <w:rPr>
          <w:i/>
        </w:rPr>
        <w:t xml:space="preserve"> </w:t>
      </w:r>
      <w:proofErr w:type="spellStart"/>
      <w:r w:rsidRPr="00BB6EF4">
        <w:rPr>
          <w:i/>
        </w:rPr>
        <w:t>висновок</w:t>
      </w:r>
      <w:proofErr w:type="spellEnd"/>
      <w:r w:rsidRPr="00BB6EF4">
        <w:rPr>
          <w:i/>
        </w:rPr>
        <w:t xml:space="preserve"> </w:t>
      </w:r>
      <w:proofErr w:type="spellStart"/>
      <w:r w:rsidRPr="00BB6EF4">
        <w:rPr>
          <w:i/>
        </w:rPr>
        <w:t>складено</w:t>
      </w:r>
      <w:proofErr w:type="spellEnd"/>
      <w:r w:rsidRPr="00BB6EF4">
        <w:rPr>
          <w:i/>
        </w:rPr>
        <w:t xml:space="preserve"> </w:t>
      </w:r>
      <w:proofErr w:type="spellStart"/>
      <w:r w:rsidRPr="00BB6EF4">
        <w:rPr>
          <w:i/>
        </w:rPr>
        <w:t>керівником</w:t>
      </w:r>
      <w:proofErr w:type="spellEnd"/>
      <w:r w:rsidRPr="00BB6EF4">
        <w:rPr>
          <w:i/>
        </w:rPr>
        <w:t xml:space="preserve"> </w:t>
      </w:r>
      <w:proofErr w:type="spellStart"/>
      <w:r w:rsidRPr="00BB6EF4">
        <w:rPr>
          <w:i/>
        </w:rPr>
        <w:t>групи</w:t>
      </w:r>
      <w:proofErr w:type="spellEnd"/>
      <w:r w:rsidRPr="00BB6EF4">
        <w:rPr>
          <w:i/>
        </w:rPr>
        <w:t xml:space="preserve">, аудитором </w:t>
      </w:r>
      <w:proofErr w:type="spellStart"/>
      <w:r w:rsidRPr="00BB6EF4">
        <w:rPr>
          <w:i/>
        </w:rPr>
        <w:t>Покляцькою</w:t>
      </w:r>
      <w:proofErr w:type="spellEnd"/>
      <w:r w:rsidRPr="00BB6EF4">
        <w:rPr>
          <w:i/>
        </w:rPr>
        <w:t xml:space="preserve"> Л.П./</w:t>
      </w:r>
      <w:proofErr w:type="spellStart"/>
      <w:r w:rsidRPr="00BB6EF4">
        <w:rPr>
          <w:i/>
        </w:rPr>
        <w:t>сертифікат</w:t>
      </w:r>
      <w:proofErr w:type="spellEnd"/>
      <w:r w:rsidRPr="00BB6EF4">
        <w:rPr>
          <w:i/>
        </w:rPr>
        <w:t xml:space="preserve"> аудитора №000602 </w:t>
      </w:r>
      <w:proofErr w:type="spellStart"/>
      <w:r w:rsidRPr="00BB6EF4">
        <w:rPr>
          <w:i/>
        </w:rPr>
        <w:t>від</w:t>
      </w:r>
      <w:proofErr w:type="spellEnd"/>
      <w:r w:rsidRPr="00BB6EF4">
        <w:rPr>
          <w:i/>
        </w:rPr>
        <w:t xml:space="preserve"> 25.01.1996р. </w:t>
      </w:r>
      <w:proofErr w:type="spellStart"/>
      <w:r w:rsidRPr="00BB6EF4">
        <w:rPr>
          <w:i/>
        </w:rPr>
        <w:t>подовжено</w:t>
      </w:r>
      <w:proofErr w:type="spellEnd"/>
      <w:r w:rsidRPr="00BB6EF4">
        <w:rPr>
          <w:i/>
        </w:rPr>
        <w:t xml:space="preserve"> до 25.01.2020р.</w:t>
      </w:r>
      <w:r w:rsidRPr="00BB6EF4">
        <w:rPr>
          <w:bCs/>
          <w:i/>
        </w:rPr>
        <w:t xml:space="preserve"> </w:t>
      </w:r>
    </w:p>
    <w:p w:rsidR="005D162A" w:rsidRPr="00444B9C" w:rsidRDefault="005D162A" w:rsidP="005D162A">
      <w:pPr>
        <w:ind w:firstLine="540"/>
        <w:jc w:val="both"/>
        <w:rPr>
          <w:bCs/>
          <w:lang w:val="uk-UA"/>
        </w:rPr>
      </w:pPr>
    </w:p>
    <w:p w:rsidR="005D162A" w:rsidRPr="00444B9C" w:rsidRDefault="005D162A" w:rsidP="005D162A">
      <w:pPr>
        <w:ind w:firstLine="540"/>
        <w:jc w:val="both"/>
        <w:rPr>
          <w:color w:val="000000"/>
          <w:lang w:val="uk-UA"/>
        </w:rPr>
      </w:pPr>
      <w:r w:rsidRPr="00444B9C">
        <w:rPr>
          <w:color w:val="000000"/>
          <w:lang w:val="uk-UA"/>
        </w:rPr>
        <w:t>Місцезнаходження:</w:t>
      </w:r>
    </w:p>
    <w:p w:rsidR="005D162A" w:rsidRPr="00444B9C" w:rsidRDefault="005D162A" w:rsidP="005D162A">
      <w:pPr>
        <w:ind w:firstLine="540"/>
        <w:jc w:val="both"/>
        <w:rPr>
          <w:lang w:val="uk-UA"/>
        </w:rPr>
      </w:pPr>
      <w:r w:rsidRPr="00444B9C">
        <w:rPr>
          <w:color w:val="000000"/>
          <w:lang w:val="uk-UA"/>
        </w:rPr>
        <w:t xml:space="preserve">м. Київ, </w:t>
      </w:r>
      <w:r w:rsidRPr="00444B9C">
        <w:rPr>
          <w:lang w:val="uk-UA"/>
        </w:rPr>
        <w:t xml:space="preserve">03179, вул. Єфремова, 9 кв. 5 </w:t>
      </w:r>
    </w:p>
    <w:p w:rsidR="00DB2E50" w:rsidRPr="00444B9C" w:rsidRDefault="005D162A" w:rsidP="00DA67E2">
      <w:pPr>
        <w:keepNext/>
        <w:tabs>
          <w:tab w:val="left" w:pos="0"/>
        </w:tabs>
        <w:spacing w:line="360" w:lineRule="auto"/>
        <w:jc w:val="both"/>
        <w:rPr>
          <w:iCs/>
          <w:lang w:val="uk-UA"/>
        </w:rPr>
      </w:pPr>
      <w:r w:rsidRPr="00444B9C">
        <w:rPr>
          <w:iCs/>
          <w:lang w:val="uk-UA"/>
        </w:rPr>
        <w:t xml:space="preserve">        </w:t>
      </w:r>
      <w:r w:rsidR="00DB2E50" w:rsidRPr="00444B9C">
        <w:rPr>
          <w:iCs/>
          <w:lang w:val="uk-UA"/>
        </w:rPr>
        <w:t xml:space="preserve">Договір № </w:t>
      </w:r>
      <w:r w:rsidR="00BB6EF4">
        <w:rPr>
          <w:iCs/>
          <w:lang w:val="uk-UA"/>
        </w:rPr>
        <w:t>4</w:t>
      </w:r>
      <w:r w:rsidR="00F351D6">
        <w:rPr>
          <w:iCs/>
          <w:lang w:val="uk-UA"/>
        </w:rPr>
        <w:t>/</w:t>
      </w:r>
      <w:r w:rsidR="00BB6EF4">
        <w:rPr>
          <w:iCs/>
          <w:lang w:val="uk-UA"/>
        </w:rPr>
        <w:t>15</w:t>
      </w:r>
      <w:r w:rsidR="00DB2E50" w:rsidRPr="00444B9C">
        <w:rPr>
          <w:iCs/>
          <w:lang w:val="uk-UA"/>
        </w:rPr>
        <w:t xml:space="preserve"> від </w:t>
      </w:r>
      <w:r w:rsidR="00F351D6">
        <w:rPr>
          <w:iCs/>
          <w:lang w:val="uk-UA"/>
        </w:rPr>
        <w:t>1</w:t>
      </w:r>
      <w:r w:rsidR="00BB6EF4">
        <w:rPr>
          <w:iCs/>
          <w:lang w:val="uk-UA"/>
        </w:rPr>
        <w:t>6</w:t>
      </w:r>
      <w:r w:rsidR="00F351D6">
        <w:rPr>
          <w:iCs/>
          <w:lang w:val="uk-UA"/>
        </w:rPr>
        <w:t>.03</w:t>
      </w:r>
      <w:r w:rsidR="00DB2E50" w:rsidRPr="00444B9C">
        <w:rPr>
          <w:iCs/>
          <w:lang w:val="uk-UA"/>
        </w:rPr>
        <w:t>.201</w:t>
      </w:r>
      <w:r w:rsidR="00353DC4" w:rsidRPr="00444B9C">
        <w:rPr>
          <w:iCs/>
          <w:lang w:val="uk-UA"/>
        </w:rPr>
        <w:t>7</w:t>
      </w:r>
      <w:r w:rsidRPr="00444B9C">
        <w:rPr>
          <w:iCs/>
          <w:lang w:val="uk-UA"/>
        </w:rPr>
        <w:t xml:space="preserve"> року</w:t>
      </w:r>
    </w:p>
    <w:p w:rsidR="00DB2E50" w:rsidRPr="00444B9C" w:rsidRDefault="00DB2E50" w:rsidP="00DA67E2">
      <w:pPr>
        <w:keepNext/>
        <w:tabs>
          <w:tab w:val="left" w:pos="0"/>
        </w:tabs>
        <w:spacing w:line="360" w:lineRule="auto"/>
        <w:jc w:val="both"/>
        <w:rPr>
          <w:iCs/>
          <w:lang w:val="uk-UA"/>
        </w:rPr>
      </w:pPr>
      <w:r w:rsidRPr="00444B9C">
        <w:rPr>
          <w:iCs/>
          <w:lang w:val="uk-UA"/>
        </w:rPr>
        <w:t xml:space="preserve"> Дата початку аудиту  </w:t>
      </w:r>
      <w:r w:rsidR="00F351D6">
        <w:rPr>
          <w:iCs/>
          <w:lang w:val="uk-UA"/>
        </w:rPr>
        <w:t>1</w:t>
      </w:r>
      <w:r w:rsidR="00BB6EF4">
        <w:rPr>
          <w:iCs/>
          <w:lang w:val="uk-UA"/>
        </w:rPr>
        <w:t>7</w:t>
      </w:r>
      <w:r w:rsidR="00F351D6">
        <w:rPr>
          <w:iCs/>
          <w:lang w:val="uk-UA"/>
        </w:rPr>
        <w:t>.03</w:t>
      </w:r>
      <w:r w:rsidRPr="00444B9C">
        <w:rPr>
          <w:iCs/>
          <w:lang w:val="uk-UA"/>
        </w:rPr>
        <w:t>.201</w:t>
      </w:r>
      <w:r w:rsidR="00353DC4" w:rsidRPr="00444B9C">
        <w:rPr>
          <w:iCs/>
          <w:lang w:val="uk-UA"/>
        </w:rPr>
        <w:t>7</w:t>
      </w:r>
      <w:r w:rsidR="005D162A" w:rsidRPr="00444B9C">
        <w:rPr>
          <w:iCs/>
          <w:lang w:val="uk-UA"/>
        </w:rPr>
        <w:t xml:space="preserve"> року дата закінчення</w:t>
      </w:r>
      <w:r w:rsidRPr="00444B9C">
        <w:rPr>
          <w:iCs/>
          <w:lang w:val="uk-UA"/>
        </w:rPr>
        <w:t xml:space="preserve"> </w:t>
      </w:r>
      <w:r w:rsidR="00F351D6">
        <w:rPr>
          <w:iCs/>
          <w:lang w:val="uk-UA"/>
        </w:rPr>
        <w:t>2</w:t>
      </w:r>
      <w:r w:rsidR="00BB6EF4">
        <w:rPr>
          <w:iCs/>
          <w:lang w:val="uk-UA"/>
        </w:rPr>
        <w:t>5</w:t>
      </w:r>
      <w:r w:rsidRPr="00444B9C">
        <w:rPr>
          <w:iCs/>
          <w:lang w:val="uk-UA"/>
        </w:rPr>
        <w:t>.0</w:t>
      </w:r>
      <w:r w:rsidR="00BB6EF4">
        <w:rPr>
          <w:iCs/>
          <w:lang w:val="uk-UA"/>
        </w:rPr>
        <w:t>4</w:t>
      </w:r>
      <w:r w:rsidRPr="00444B9C">
        <w:rPr>
          <w:iCs/>
          <w:lang w:val="uk-UA"/>
        </w:rPr>
        <w:t>.201</w:t>
      </w:r>
      <w:r w:rsidR="00353DC4" w:rsidRPr="00444B9C">
        <w:rPr>
          <w:iCs/>
          <w:lang w:val="uk-UA"/>
        </w:rPr>
        <w:t>7</w:t>
      </w:r>
      <w:r w:rsidR="005D162A" w:rsidRPr="00444B9C">
        <w:rPr>
          <w:iCs/>
          <w:lang w:val="uk-UA"/>
        </w:rPr>
        <w:t xml:space="preserve"> року</w:t>
      </w:r>
    </w:p>
    <w:p w:rsidR="00F351D6" w:rsidRPr="00444B9C" w:rsidRDefault="00F351D6" w:rsidP="005D162A">
      <w:pPr>
        <w:shd w:val="clear" w:color="auto" w:fill="FFFFFF"/>
        <w:jc w:val="both"/>
        <w:rPr>
          <w:b/>
          <w:i/>
          <w:color w:val="000000"/>
          <w:lang w:val="uk-UA"/>
        </w:rPr>
      </w:pPr>
    </w:p>
    <w:p w:rsidR="005D162A" w:rsidRPr="00F351D6" w:rsidRDefault="001F1E01" w:rsidP="005D162A">
      <w:pPr>
        <w:shd w:val="clear" w:color="auto" w:fill="FFFFFF"/>
        <w:jc w:val="both"/>
        <w:rPr>
          <w:i/>
          <w:color w:val="000000"/>
          <w:lang w:val="uk-UA"/>
        </w:rPr>
      </w:pPr>
      <w:r w:rsidRPr="00F351D6">
        <w:rPr>
          <w:i/>
          <w:color w:val="000000"/>
          <w:lang w:val="uk-UA"/>
        </w:rPr>
        <w:t xml:space="preserve">Аудитор                                                         </w:t>
      </w:r>
      <w:r w:rsidR="00BB6EF4">
        <w:rPr>
          <w:i/>
          <w:color w:val="000000"/>
          <w:lang w:val="uk-UA"/>
        </w:rPr>
        <w:t>Л.П.</w:t>
      </w:r>
      <w:proofErr w:type="spellStart"/>
      <w:r w:rsidR="00BB6EF4">
        <w:rPr>
          <w:i/>
          <w:color w:val="000000"/>
          <w:lang w:val="uk-UA"/>
        </w:rPr>
        <w:t>Покляцька</w:t>
      </w:r>
      <w:proofErr w:type="spellEnd"/>
    </w:p>
    <w:p w:rsidR="001F1E01" w:rsidRPr="00F351D6" w:rsidRDefault="001F1E01" w:rsidP="005D162A">
      <w:pPr>
        <w:shd w:val="clear" w:color="auto" w:fill="FFFFFF"/>
        <w:jc w:val="both"/>
        <w:rPr>
          <w:i/>
          <w:color w:val="000000"/>
          <w:lang w:val="uk-UA"/>
        </w:rPr>
      </w:pPr>
    </w:p>
    <w:p w:rsidR="00F351D6" w:rsidRPr="00F351D6" w:rsidRDefault="00F351D6" w:rsidP="005D162A">
      <w:pPr>
        <w:shd w:val="clear" w:color="auto" w:fill="FFFFFF"/>
        <w:jc w:val="both"/>
        <w:rPr>
          <w:i/>
          <w:color w:val="000000"/>
          <w:lang w:val="uk-UA"/>
        </w:rPr>
      </w:pPr>
    </w:p>
    <w:p w:rsidR="005D162A" w:rsidRPr="00F351D6" w:rsidRDefault="005D162A" w:rsidP="005D162A">
      <w:pPr>
        <w:shd w:val="clear" w:color="auto" w:fill="FFFFFF"/>
        <w:jc w:val="both"/>
        <w:rPr>
          <w:i/>
          <w:color w:val="000000"/>
          <w:lang w:val="uk-UA"/>
        </w:rPr>
      </w:pPr>
      <w:r w:rsidRPr="00F351D6">
        <w:rPr>
          <w:i/>
          <w:color w:val="000000"/>
          <w:lang w:val="uk-UA"/>
        </w:rPr>
        <w:t xml:space="preserve">Директор                                           </w:t>
      </w:r>
      <w:r w:rsidR="00C85AC9" w:rsidRPr="00F351D6">
        <w:rPr>
          <w:i/>
          <w:color w:val="000000"/>
          <w:lang w:val="uk-UA"/>
        </w:rPr>
        <w:t xml:space="preserve">     </w:t>
      </w:r>
      <w:r w:rsidRPr="00F351D6">
        <w:rPr>
          <w:i/>
          <w:color w:val="000000"/>
          <w:lang w:val="uk-UA"/>
        </w:rPr>
        <w:t xml:space="preserve">      </w:t>
      </w:r>
      <w:r w:rsidRPr="00F351D6">
        <w:rPr>
          <w:color w:val="000000"/>
          <w:lang w:val="uk-UA"/>
        </w:rPr>
        <w:t xml:space="preserve">М.Ю. </w:t>
      </w:r>
      <w:proofErr w:type="spellStart"/>
      <w:r w:rsidRPr="00F351D6">
        <w:rPr>
          <w:color w:val="000000"/>
          <w:lang w:val="uk-UA"/>
        </w:rPr>
        <w:t>Арцев</w:t>
      </w:r>
      <w:proofErr w:type="spellEnd"/>
    </w:p>
    <w:p w:rsidR="005D162A" w:rsidRPr="00F351D6" w:rsidRDefault="005D162A" w:rsidP="00D64ECC">
      <w:pPr>
        <w:pStyle w:val="af2"/>
        <w:jc w:val="both"/>
        <w:rPr>
          <w:b w:val="0"/>
          <w:i/>
          <w:sz w:val="24"/>
          <w:u w:val="none"/>
        </w:rPr>
      </w:pPr>
    </w:p>
    <w:p w:rsidR="005D162A" w:rsidRPr="00F351D6" w:rsidRDefault="00C1274E" w:rsidP="005D162A">
      <w:pPr>
        <w:pStyle w:val="af2"/>
        <w:ind w:left="1418" w:hanging="1418"/>
        <w:jc w:val="both"/>
        <w:rPr>
          <w:b w:val="0"/>
          <w:bCs w:val="0"/>
          <w:sz w:val="24"/>
          <w:u w:val="none"/>
        </w:rPr>
      </w:pPr>
      <w:r w:rsidRPr="00F351D6">
        <w:rPr>
          <w:b w:val="0"/>
          <w:bCs w:val="0"/>
          <w:sz w:val="24"/>
          <w:u w:val="none"/>
        </w:rPr>
        <w:t xml:space="preserve">м. Київ </w:t>
      </w:r>
      <w:r w:rsidR="00F351D6" w:rsidRPr="00F351D6">
        <w:rPr>
          <w:b w:val="0"/>
          <w:bCs w:val="0"/>
          <w:sz w:val="24"/>
          <w:u w:val="none"/>
        </w:rPr>
        <w:t>2</w:t>
      </w:r>
      <w:r w:rsidR="00BE3E83">
        <w:rPr>
          <w:b w:val="0"/>
          <w:bCs w:val="0"/>
          <w:sz w:val="24"/>
          <w:u w:val="none"/>
        </w:rPr>
        <w:t>5</w:t>
      </w:r>
      <w:r w:rsidRPr="00F351D6">
        <w:rPr>
          <w:b w:val="0"/>
          <w:bCs w:val="0"/>
          <w:sz w:val="24"/>
          <w:u w:val="none"/>
        </w:rPr>
        <w:t xml:space="preserve"> </w:t>
      </w:r>
      <w:r w:rsidR="00BE3E83">
        <w:rPr>
          <w:b w:val="0"/>
          <w:bCs w:val="0"/>
          <w:sz w:val="24"/>
          <w:u w:val="none"/>
        </w:rPr>
        <w:t>квітня</w:t>
      </w:r>
      <w:r w:rsidR="005D162A" w:rsidRPr="00F351D6">
        <w:rPr>
          <w:b w:val="0"/>
          <w:bCs w:val="0"/>
          <w:sz w:val="24"/>
          <w:u w:val="none"/>
        </w:rPr>
        <w:t xml:space="preserve"> 2017 року</w:t>
      </w:r>
    </w:p>
    <w:p w:rsidR="00DB2E50" w:rsidRPr="00F351D6" w:rsidRDefault="005D162A" w:rsidP="00DA67E2">
      <w:pPr>
        <w:pStyle w:val="af2"/>
        <w:tabs>
          <w:tab w:val="left" w:pos="0"/>
        </w:tabs>
        <w:jc w:val="both"/>
        <w:rPr>
          <w:b w:val="0"/>
          <w:sz w:val="24"/>
          <w:u w:val="none"/>
        </w:rPr>
      </w:pPr>
      <w:r w:rsidRPr="00F351D6">
        <w:rPr>
          <w:b w:val="0"/>
          <w:sz w:val="24"/>
          <w:u w:val="none"/>
        </w:rPr>
        <w:t>вул. Єфремова, 9 кв. 5</w:t>
      </w:r>
    </w:p>
    <w:p w:rsidR="00DB2E50" w:rsidRPr="00444B9C" w:rsidRDefault="00DB2E50" w:rsidP="00DA67E2">
      <w:pPr>
        <w:shd w:val="clear" w:color="auto" w:fill="FFFFFF"/>
        <w:tabs>
          <w:tab w:val="left" w:pos="0"/>
        </w:tabs>
        <w:jc w:val="both"/>
        <w:rPr>
          <w:lang w:val="uk-UA"/>
        </w:rPr>
      </w:pPr>
    </w:p>
    <w:p w:rsidR="00DB2E50" w:rsidRPr="00444B9C" w:rsidRDefault="00DB2E50" w:rsidP="00DA67E2">
      <w:pPr>
        <w:shd w:val="clear" w:color="auto" w:fill="FFFFFF"/>
        <w:tabs>
          <w:tab w:val="left" w:pos="0"/>
        </w:tabs>
        <w:jc w:val="both"/>
        <w:rPr>
          <w:lang w:val="uk-UA"/>
        </w:rPr>
      </w:pPr>
    </w:p>
    <w:sectPr w:rsidR="00DB2E50" w:rsidRPr="00444B9C" w:rsidSect="006E1986">
      <w:headerReference w:type="first" r:id="rId10"/>
      <w:footerReference w:type="first" r:id="rId11"/>
      <w:pgSz w:w="11909" w:h="16834"/>
      <w:pgMar w:top="284" w:right="1136" w:bottom="539" w:left="1134" w:header="708" w:footer="708" w:gutter="0"/>
      <w:pgNumType w:start="4"/>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659" w:rsidRDefault="00E65659">
      <w:r>
        <w:separator/>
      </w:r>
    </w:p>
  </w:endnote>
  <w:endnote w:type="continuationSeparator" w:id="0">
    <w:p w:rsidR="00E65659" w:rsidRDefault="00E6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18" w:rsidRDefault="00A71718">
    <w:pPr>
      <w:pStyle w:val="a8"/>
      <w:jc w:val="right"/>
      <w:rPr>
        <w:sz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659" w:rsidRDefault="00E65659">
      <w:r>
        <w:separator/>
      </w:r>
    </w:p>
  </w:footnote>
  <w:footnote w:type="continuationSeparator" w:id="0">
    <w:p w:rsidR="00E65659" w:rsidRDefault="00E65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18" w:rsidRDefault="00A71718">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EB5"/>
    <w:multiLevelType w:val="hybridMultilevel"/>
    <w:tmpl w:val="A7CA7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E7C56"/>
    <w:multiLevelType w:val="hybridMultilevel"/>
    <w:tmpl w:val="6AB669B4"/>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2">
    <w:nsid w:val="13A2644D"/>
    <w:multiLevelType w:val="hybridMultilevel"/>
    <w:tmpl w:val="597C7810"/>
    <w:lvl w:ilvl="0" w:tplc="56EE6626">
      <w:start w:val="1"/>
      <w:numFmt w:val="russianLower"/>
      <w:lvlText w:val="%1)"/>
      <w:lvlJc w:val="left"/>
      <w:pPr>
        <w:tabs>
          <w:tab w:val="num" w:pos="1647"/>
        </w:tabs>
        <w:ind w:left="1647" w:hanging="567"/>
      </w:pPr>
      <w:rPr>
        <w:rFonts w:ascii="Times New Roman" w:hAnsi="Times New Roman" w:cs="Times New Roman" w:hint="default"/>
      </w:rPr>
    </w:lvl>
    <w:lvl w:ilvl="1" w:tplc="018472D8">
      <w:start w:val="1"/>
      <w:numFmt w:val="bullet"/>
      <w:lvlText w:val=""/>
      <w:lvlJc w:val="left"/>
      <w:pPr>
        <w:tabs>
          <w:tab w:val="num" w:pos="1440"/>
        </w:tabs>
        <w:ind w:left="1440" w:hanging="360"/>
      </w:pPr>
      <w:rPr>
        <w:rFonts w:ascii="Symbol" w:hAnsi="Symbol" w:hint="default"/>
        <w:color w:val="auto"/>
      </w:rPr>
    </w:lvl>
    <w:lvl w:ilvl="2" w:tplc="752A5A2C">
      <w:start w:val="2010"/>
      <w:numFmt w:val="decimal"/>
      <w:lvlText w:val="%3"/>
      <w:lvlJc w:val="left"/>
      <w:pPr>
        <w:tabs>
          <w:tab w:val="num" w:pos="2460"/>
        </w:tabs>
        <w:ind w:left="2460" w:hanging="4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AA5DA1"/>
    <w:multiLevelType w:val="hybridMultilevel"/>
    <w:tmpl w:val="2D86CA94"/>
    <w:lvl w:ilvl="0" w:tplc="B9B4A9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D07390"/>
    <w:multiLevelType w:val="hybridMultilevel"/>
    <w:tmpl w:val="4CBE675A"/>
    <w:lvl w:ilvl="0" w:tplc="0824CCDC">
      <w:start w:val="23"/>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5">
    <w:nsid w:val="1EDB66B3"/>
    <w:multiLevelType w:val="hybridMultilevel"/>
    <w:tmpl w:val="53D2190C"/>
    <w:lvl w:ilvl="0" w:tplc="CC0C6D98">
      <w:start w:val="2"/>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4451E12"/>
    <w:multiLevelType w:val="hybridMultilevel"/>
    <w:tmpl w:val="A8D20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C02B87"/>
    <w:multiLevelType w:val="hybridMultilevel"/>
    <w:tmpl w:val="D784A258"/>
    <w:lvl w:ilvl="0" w:tplc="CC0C6D98">
      <w:start w:val="2"/>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8F6647C"/>
    <w:multiLevelType w:val="hybridMultilevel"/>
    <w:tmpl w:val="7AAA5FD2"/>
    <w:lvl w:ilvl="0" w:tplc="04190001">
      <w:start w:val="1"/>
      <w:numFmt w:val="bullet"/>
      <w:lvlText w:val=""/>
      <w:lvlJc w:val="left"/>
      <w:pPr>
        <w:tabs>
          <w:tab w:val="num" w:pos="1085"/>
        </w:tabs>
        <w:ind w:left="1085" w:hanging="360"/>
      </w:pPr>
      <w:rPr>
        <w:rFonts w:ascii="Symbol" w:hAnsi="Symbol" w:hint="default"/>
      </w:rPr>
    </w:lvl>
    <w:lvl w:ilvl="1" w:tplc="04190003" w:tentative="1">
      <w:start w:val="1"/>
      <w:numFmt w:val="bullet"/>
      <w:lvlText w:val="o"/>
      <w:lvlJc w:val="left"/>
      <w:pPr>
        <w:tabs>
          <w:tab w:val="num" w:pos="1805"/>
        </w:tabs>
        <w:ind w:left="1805" w:hanging="360"/>
      </w:pPr>
      <w:rPr>
        <w:rFonts w:ascii="Courier New" w:hAnsi="Courier New" w:cs="Courier New" w:hint="default"/>
      </w:rPr>
    </w:lvl>
    <w:lvl w:ilvl="2" w:tplc="04190005" w:tentative="1">
      <w:start w:val="1"/>
      <w:numFmt w:val="bullet"/>
      <w:lvlText w:val=""/>
      <w:lvlJc w:val="left"/>
      <w:pPr>
        <w:tabs>
          <w:tab w:val="num" w:pos="2525"/>
        </w:tabs>
        <w:ind w:left="2525" w:hanging="360"/>
      </w:pPr>
      <w:rPr>
        <w:rFonts w:ascii="Wingdings" w:hAnsi="Wingdings" w:hint="default"/>
      </w:rPr>
    </w:lvl>
    <w:lvl w:ilvl="3" w:tplc="04190001" w:tentative="1">
      <w:start w:val="1"/>
      <w:numFmt w:val="bullet"/>
      <w:lvlText w:val=""/>
      <w:lvlJc w:val="left"/>
      <w:pPr>
        <w:tabs>
          <w:tab w:val="num" w:pos="3245"/>
        </w:tabs>
        <w:ind w:left="3245" w:hanging="360"/>
      </w:pPr>
      <w:rPr>
        <w:rFonts w:ascii="Symbol" w:hAnsi="Symbol" w:hint="default"/>
      </w:rPr>
    </w:lvl>
    <w:lvl w:ilvl="4" w:tplc="04190003" w:tentative="1">
      <w:start w:val="1"/>
      <w:numFmt w:val="bullet"/>
      <w:lvlText w:val="o"/>
      <w:lvlJc w:val="left"/>
      <w:pPr>
        <w:tabs>
          <w:tab w:val="num" w:pos="3965"/>
        </w:tabs>
        <w:ind w:left="3965" w:hanging="360"/>
      </w:pPr>
      <w:rPr>
        <w:rFonts w:ascii="Courier New" w:hAnsi="Courier New" w:cs="Courier New" w:hint="default"/>
      </w:rPr>
    </w:lvl>
    <w:lvl w:ilvl="5" w:tplc="04190005" w:tentative="1">
      <w:start w:val="1"/>
      <w:numFmt w:val="bullet"/>
      <w:lvlText w:val=""/>
      <w:lvlJc w:val="left"/>
      <w:pPr>
        <w:tabs>
          <w:tab w:val="num" w:pos="4685"/>
        </w:tabs>
        <w:ind w:left="4685" w:hanging="360"/>
      </w:pPr>
      <w:rPr>
        <w:rFonts w:ascii="Wingdings" w:hAnsi="Wingdings" w:hint="default"/>
      </w:rPr>
    </w:lvl>
    <w:lvl w:ilvl="6" w:tplc="04190001" w:tentative="1">
      <w:start w:val="1"/>
      <w:numFmt w:val="bullet"/>
      <w:lvlText w:val=""/>
      <w:lvlJc w:val="left"/>
      <w:pPr>
        <w:tabs>
          <w:tab w:val="num" w:pos="5405"/>
        </w:tabs>
        <w:ind w:left="5405" w:hanging="360"/>
      </w:pPr>
      <w:rPr>
        <w:rFonts w:ascii="Symbol" w:hAnsi="Symbol" w:hint="default"/>
      </w:rPr>
    </w:lvl>
    <w:lvl w:ilvl="7" w:tplc="04190003" w:tentative="1">
      <w:start w:val="1"/>
      <w:numFmt w:val="bullet"/>
      <w:lvlText w:val="o"/>
      <w:lvlJc w:val="left"/>
      <w:pPr>
        <w:tabs>
          <w:tab w:val="num" w:pos="6125"/>
        </w:tabs>
        <w:ind w:left="6125" w:hanging="360"/>
      </w:pPr>
      <w:rPr>
        <w:rFonts w:ascii="Courier New" w:hAnsi="Courier New" w:cs="Courier New" w:hint="default"/>
      </w:rPr>
    </w:lvl>
    <w:lvl w:ilvl="8" w:tplc="04190005" w:tentative="1">
      <w:start w:val="1"/>
      <w:numFmt w:val="bullet"/>
      <w:lvlText w:val=""/>
      <w:lvlJc w:val="left"/>
      <w:pPr>
        <w:tabs>
          <w:tab w:val="num" w:pos="6845"/>
        </w:tabs>
        <w:ind w:left="6845" w:hanging="360"/>
      </w:pPr>
      <w:rPr>
        <w:rFonts w:ascii="Wingdings" w:hAnsi="Wingdings" w:hint="default"/>
      </w:rPr>
    </w:lvl>
  </w:abstractNum>
  <w:abstractNum w:abstractNumId="9">
    <w:nsid w:val="3918014E"/>
    <w:multiLevelType w:val="hybridMultilevel"/>
    <w:tmpl w:val="C562D4C4"/>
    <w:lvl w:ilvl="0" w:tplc="A628E09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D069CA"/>
    <w:multiLevelType w:val="hybridMultilevel"/>
    <w:tmpl w:val="50C65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1D205A"/>
    <w:multiLevelType w:val="hybridMultilevel"/>
    <w:tmpl w:val="A942E956"/>
    <w:lvl w:ilvl="0" w:tplc="04190001">
      <w:start w:val="1"/>
      <w:numFmt w:val="bullet"/>
      <w:lvlText w:val=""/>
      <w:lvlJc w:val="left"/>
      <w:pPr>
        <w:ind w:left="720" w:hanging="360"/>
      </w:pPr>
      <w:rPr>
        <w:rFonts w:ascii="Symbol" w:hAnsi="Symbol" w:hint="default"/>
      </w:rPr>
    </w:lvl>
    <w:lvl w:ilvl="1" w:tplc="27A089C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6D5D9D"/>
    <w:multiLevelType w:val="hybridMultilevel"/>
    <w:tmpl w:val="56D6B5C6"/>
    <w:lvl w:ilvl="0" w:tplc="B9B4A9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F104A7"/>
    <w:multiLevelType w:val="hybridMultilevel"/>
    <w:tmpl w:val="61880422"/>
    <w:lvl w:ilvl="0" w:tplc="04190001">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094110"/>
    <w:multiLevelType w:val="hybridMultilevel"/>
    <w:tmpl w:val="82161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1141FC"/>
    <w:multiLevelType w:val="hybridMultilevel"/>
    <w:tmpl w:val="483EF374"/>
    <w:lvl w:ilvl="0" w:tplc="89DC4908">
      <w:start w:val="3"/>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8"/>
  </w:num>
  <w:num w:numId="5">
    <w:abstractNumId w:val="13"/>
  </w:num>
  <w:num w:numId="6">
    <w:abstractNumId w:val="6"/>
  </w:num>
  <w:num w:numId="7">
    <w:abstractNumId w:val="10"/>
  </w:num>
  <w:num w:numId="8">
    <w:abstractNumId w:val="14"/>
  </w:num>
  <w:num w:numId="9">
    <w:abstractNumId w:val="11"/>
  </w:num>
  <w:num w:numId="10">
    <w:abstractNumId w:val="9"/>
  </w:num>
  <w:num w:numId="11">
    <w:abstractNumId w:val="0"/>
  </w:num>
  <w:num w:numId="12">
    <w:abstractNumId w:val="3"/>
  </w:num>
  <w:num w:numId="13">
    <w:abstractNumId w:val="12"/>
  </w:num>
  <w:num w:numId="14">
    <w:abstractNumId w:val="7"/>
  </w:num>
  <w:num w:numId="15">
    <w:abstractNumId w:val="5"/>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C7"/>
    <w:rsid w:val="00000267"/>
    <w:rsid w:val="0002580B"/>
    <w:rsid w:val="00032DCB"/>
    <w:rsid w:val="00044E97"/>
    <w:rsid w:val="000639BA"/>
    <w:rsid w:val="00085F72"/>
    <w:rsid w:val="00092847"/>
    <w:rsid w:val="0009495A"/>
    <w:rsid w:val="000977B0"/>
    <w:rsid w:val="000C5FEC"/>
    <w:rsid w:val="000D105F"/>
    <w:rsid w:val="000D3DAD"/>
    <w:rsid w:val="00106E68"/>
    <w:rsid w:val="001131E6"/>
    <w:rsid w:val="00116212"/>
    <w:rsid w:val="001401A9"/>
    <w:rsid w:val="00143748"/>
    <w:rsid w:val="00145DD4"/>
    <w:rsid w:val="00160FC5"/>
    <w:rsid w:val="00162CD2"/>
    <w:rsid w:val="001811C9"/>
    <w:rsid w:val="00185F7C"/>
    <w:rsid w:val="001871F0"/>
    <w:rsid w:val="001E0D80"/>
    <w:rsid w:val="001E23A9"/>
    <w:rsid w:val="001F1E01"/>
    <w:rsid w:val="001F4991"/>
    <w:rsid w:val="001F73FD"/>
    <w:rsid w:val="0022307C"/>
    <w:rsid w:val="0022673F"/>
    <w:rsid w:val="00242A3B"/>
    <w:rsid w:val="0028116D"/>
    <w:rsid w:val="00297D4F"/>
    <w:rsid w:val="002C04DE"/>
    <w:rsid w:val="002C6F2A"/>
    <w:rsid w:val="002D1D78"/>
    <w:rsid w:val="002E5701"/>
    <w:rsid w:val="002E5FC6"/>
    <w:rsid w:val="002F3AD3"/>
    <w:rsid w:val="0030257E"/>
    <w:rsid w:val="00311AF4"/>
    <w:rsid w:val="00321208"/>
    <w:rsid w:val="00323077"/>
    <w:rsid w:val="003253E2"/>
    <w:rsid w:val="00332B6A"/>
    <w:rsid w:val="00346464"/>
    <w:rsid w:val="00353DC4"/>
    <w:rsid w:val="00370DB7"/>
    <w:rsid w:val="00380E8C"/>
    <w:rsid w:val="00380FCD"/>
    <w:rsid w:val="00385D34"/>
    <w:rsid w:val="00392D3C"/>
    <w:rsid w:val="003A07EB"/>
    <w:rsid w:val="003B0B14"/>
    <w:rsid w:val="003B34D3"/>
    <w:rsid w:val="003C1C27"/>
    <w:rsid w:val="003C48B2"/>
    <w:rsid w:val="003C6BB2"/>
    <w:rsid w:val="003D2D07"/>
    <w:rsid w:val="003E7DA5"/>
    <w:rsid w:val="00442E53"/>
    <w:rsid w:val="00444B9C"/>
    <w:rsid w:val="004504E3"/>
    <w:rsid w:val="00455D4C"/>
    <w:rsid w:val="004754D7"/>
    <w:rsid w:val="00475EA0"/>
    <w:rsid w:val="0047711E"/>
    <w:rsid w:val="00477A36"/>
    <w:rsid w:val="00481D1A"/>
    <w:rsid w:val="00486765"/>
    <w:rsid w:val="0049101E"/>
    <w:rsid w:val="0049297C"/>
    <w:rsid w:val="004C0CD1"/>
    <w:rsid w:val="004D1BF9"/>
    <w:rsid w:val="004D307F"/>
    <w:rsid w:val="004D5992"/>
    <w:rsid w:val="00500BA2"/>
    <w:rsid w:val="00506D4C"/>
    <w:rsid w:val="00511C41"/>
    <w:rsid w:val="00521634"/>
    <w:rsid w:val="0053470E"/>
    <w:rsid w:val="00543A13"/>
    <w:rsid w:val="00560199"/>
    <w:rsid w:val="00571491"/>
    <w:rsid w:val="0057322C"/>
    <w:rsid w:val="005901D3"/>
    <w:rsid w:val="005A4C3A"/>
    <w:rsid w:val="005C0B35"/>
    <w:rsid w:val="005C3955"/>
    <w:rsid w:val="005C6394"/>
    <w:rsid w:val="005D12AC"/>
    <w:rsid w:val="005D162A"/>
    <w:rsid w:val="005E0776"/>
    <w:rsid w:val="005E1AFE"/>
    <w:rsid w:val="005F7F60"/>
    <w:rsid w:val="00633D8D"/>
    <w:rsid w:val="00635093"/>
    <w:rsid w:val="00642434"/>
    <w:rsid w:val="00664D0F"/>
    <w:rsid w:val="00664DB4"/>
    <w:rsid w:val="006817E3"/>
    <w:rsid w:val="00683A57"/>
    <w:rsid w:val="00687024"/>
    <w:rsid w:val="00690879"/>
    <w:rsid w:val="00697EE1"/>
    <w:rsid w:val="006A3F7C"/>
    <w:rsid w:val="006B404A"/>
    <w:rsid w:val="006B6834"/>
    <w:rsid w:val="006B6C37"/>
    <w:rsid w:val="006D0585"/>
    <w:rsid w:val="006D1589"/>
    <w:rsid w:val="006D20FC"/>
    <w:rsid w:val="006D2A5E"/>
    <w:rsid w:val="006E1986"/>
    <w:rsid w:val="006E6438"/>
    <w:rsid w:val="006F4A35"/>
    <w:rsid w:val="006F5280"/>
    <w:rsid w:val="007217A1"/>
    <w:rsid w:val="007263FF"/>
    <w:rsid w:val="007522F2"/>
    <w:rsid w:val="00755F26"/>
    <w:rsid w:val="007613C7"/>
    <w:rsid w:val="00780E23"/>
    <w:rsid w:val="0078602D"/>
    <w:rsid w:val="007A52BD"/>
    <w:rsid w:val="007A57EE"/>
    <w:rsid w:val="007A6B91"/>
    <w:rsid w:val="007F0DA7"/>
    <w:rsid w:val="007F360A"/>
    <w:rsid w:val="00801170"/>
    <w:rsid w:val="00801D9B"/>
    <w:rsid w:val="0080322F"/>
    <w:rsid w:val="008142BC"/>
    <w:rsid w:val="0081776C"/>
    <w:rsid w:val="00836F52"/>
    <w:rsid w:val="00841462"/>
    <w:rsid w:val="00842A38"/>
    <w:rsid w:val="008505DB"/>
    <w:rsid w:val="00850BC8"/>
    <w:rsid w:val="0087246B"/>
    <w:rsid w:val="0089257B"/>
    <w:rsid w:val="008949F9"/>
    <w:rsid w:val="00894AE0"/>
    <w:rsid w:val="008A028F"/>
    <w:rsid w:val="008A5D5F"/>
    <w:rsid w:val="008C16AC"/>
    <w:rsid w:val="008D2D0F"/>
    <w:rsid w:val="008D4C41"/>
    <w:rsid w:val="008D4D0F"/>
    <w:rsid w:val="008D5A95"/>
    <w:rsid w:val="00901450"/>
    <w:rsid w:val="009047F1"/>
    <w:rsid w:val="00914E61"/>
    <w:rsid w:val="009351B1"/>
    <w:rsid w:val="0094054A"/>
    <w:rsid w:val="00946B62"/>
    <w:rsid w:val="009644CD"/>
    <w:rsid w:val="009721CB"/>
    <w:rsid w:val="00981762"/>
    <w:rsid w:val="00990F21"/>
    <w:rsid w:val="009C0AA4"/>
    <w:rsid w:val="009C74B4"/>
    <w:rsid w:val="00A0312F"/>
    <w:rsid w:val="00A063F3"/>
    <w:rsid w:val="00A110C7"/>
    <w:rsid w:val="00A16ADA"/>
    <w:rsid w:val="00A4366E"/>
    <w:rsid w:val="00A45EFF"/>
    <w:rsid w:val="00A46CE7"/>
    <w:rsid w:val="00A60936"/>
    <w:rsid w:val="00A61F6A"/>
    <w:rsid w:val="00A6537F"/>
    <w:rsid w:val="00A71718"/>
    <w:rsid w:val="00AC224F"/>
    <w:rsid w:val="00AC266F"/>
    <w:rsid w:val="00AC2EC8"/>
    <w:rsid w:val="00AD3351"/>
    <w:rsid w:val="00AE5CA3"/>
    <w:rsid w:val="00B0359C"/>
    <w:rsid w:val="00B041F6"/>
    <w:rsid w:val="00B409E3"/>
    <w:rsid w:val="00B703EB"/>
    <w:rsid w:val="00B74249"/>
    <w:rsid w:val="00B80C8A"/>
    <w:rsid w:val="00B81919"/>
    <w:rsid w:val="00BB0C2F"/>
    <w:rsid w:val="00BB42C0"/>
    <w:rsid w:val="00BB4987"/>
    <w:rsid w:val="00BB6EF4"/>
    <w:rsid w:val="00BC6007"/>
    <w:rsid w:val="00BD2249"/>
    <w:rsid w:val="00BD6C9B"/>
    <w:rsid w:val="00BD6FD2"/>
    <w:rsid w:val="00BD7F4C"/>
    <w:rsid w:val="00BE2132"/>
    <w:rsid w:val="00BE3E83"/>
    <w:rsid w:val="00BF0C48"/>
    <w:rsid w:val="00BF6A3F"/>
    <w:rsid w:val="00BF7661"/>
    <w:rsid w:val="00C1274E"/>
    <w:rsid w:val="00C52D10"/>
    <w:rsid w:val="00C5315B"/>
    <w:rsid w:val="00C54C25"/>
    <w:rsid w:val="00C72370"/>
    <w:rsid w:val="00C84134"/>
    <w:rsid w:val="00C85AC9"/>
    <w:rsid w:val="00CB2E6F"/>
    <w:rsid w:val="00CC27A7"/>
    <w:rsid w:val="00CD2F3B"/>
    <w:rsid w:val="00CD479E"/>
    <w:rsid w:val="00CE2F85"/>
    <w:rsid w:val="00CF67E9"/>
    <w:rsid w:val="00D20ACB"/>
    <w:rsid w:val="00D30AE5"/>
    <w:rsid w:val="00D64ECC"/>
    <w:rsid w:val="00D6670E"/>
    <w:rsid w:val="00D66FF8"/>
    <w:rsid w:val="00D671F3"/>
    <w:rsid w:val="00D75CB5"/>
    <w:rsid w:val="00D83A01"/>
    <w:rsid w:val="00D92B18"/>
    <w:rsid w:val="00D97B94"/>
    <w:rsid w:val="00DA24B8"/>
    <w:rsid w:val="00DA393C"/>
    <w:rsid w:val="00DA67E2"/>
    <w:rsid w:val="00DB2E50"/>
    <w:rsid w:val="00DB447D"/>
    <w:rsid w:val="00DB7042"/>
    <w:rsid w:val="00DD154E"/>
    <w:rsid w:val="00DD5F85"/>
    <w:rsid w:val="00DE4F5C"/>
    <w:rsid w:val="00DE57E0"/>
    <w:rsid w:val="00DE6A8D"/>
    <w:rsid w:val="00DF0195"/>
    <w:rsid w:val="00E041CA"/>
    <w:rsid w:val="00E21B04"/>
    <w:rsid w:val="00E25A12"/>
    <w:rsid w:val="00E4380D"/>
    <w:rsid w:val="00E53BE9"/>
    <w:rsid w:val="00E54356"/>
    <w:rsid w:val="00E65659"/>
    <w:rsid w:val="00E84408"/>
    <w:rsid w:val="00E85147"/>
    <w:rsid w:val="00E93071"/>
    <w:rsid w:val="00EA0737"/>
    <w:rsid w:val="00EA3AD7"/>
    <w:rsid w:val="00EA3F45"/>
    <w:rsid w:val="00ED1EEE"/>
    <w:rsid w:val="00EE1018"/>
    <w:rsid w:val="00EE5857"/>
    <w:rsid w:val="00F0054C"/>
    <w:rsid w:val="00F015D8"/>
    <w:rsid w:val="00F03184"/>
    <w:rsid w:val="00F2010E"/>
    <w:rsid w:val="00F23515"/>
    <w:rsid w:val="00F235CE"/>
    <w:rsid w:val="00F239D0"/>
    <w:rsid w:val="00F351D6"/>
    <w:rsid w:val="00F63720"/>
    <w:rsid w:val="00F642E7"/>
    <w:rsid w:val="00F65F4B"/>
    <w:rsid w:val="00F70021"/>
    <w:rsid w:val="00F92D8E"/>
    <w:rsid w:val="00FD6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widowControl w:val="0"/>
      <w:shd w:val="clear" w:color="auto" w:fill="FFFFFF"/>
      <w:spacing w:before="7" w:line="266" w:lineRule="exact"/>
      <w:ind w:left="50" w:hanging="50"/>
      <w:jc w:val="both"/>
      <w:outlineLvl w:val="0"/>
    </w:pPr>
    <w:rPr>
      <w:snapToGrid w:val="0"/>
      <w:color w:val="000000"/>
      <w:sz w:val="25"/>
      <w:szCs w:val="20"/>
      <w:lang w:val="uk-UA"/>
    </w:rPr>
  </w:style>
  <w:style w:type="paragraph" w:styleId="2">
    <w:name w:val="heading 2"/>
    <w:basedOn w:val="a"/>
    <w:next w:val="a"/>
    <w:qFormat/>
    <w:pPr>
      <w:keepNext/>
      <w:spacing w:before="240" w:after="60"/>
      <w:outlineLvl w:val="1"/>
    </w:pPr>
    <w:rPr>
      <w:rFonts w:ascii="Cambria" w:hAnsi="Cambria"/>
      <w:b/>
      <w:bCs/>
      <w:i/>
      <w:iCs/>
      <w:sz w:val="28"/>
      <w:szCs w:val="28"/>
    </w:rPr>
  </w:style>
  <w:style w:type="paragraph" w:styleId="3">
    <w:name w:val="heading 3"/>
    <w:basedOn w:val="a"/>
    <w:next w:val="a"/>
    <w:qFormat/>
    <w:pPr>
      <w:keepNext/>
      <w:jc w:val="right"/>
      <w:outlineLvl w:val="2"/>
    </w:pPr>
    <w:rPr>
      <w:i/>
      <w:iCs/>
      <w:lang w:val="uk-UA"/>
    </w:rPr>
  </w:style>
  <w:style w:type="paragraph" w:styleId="4">
    <w:name w:val="heading 4"/>
    <w:basedOn w:val="a"/>
    <w:next w:val="a"/>
    <w:qFormat/>
    <w:pPr>
      <w:keepNext/>
      <w:widowControl w:val="0"/>
      <w:shd w:val="clear" w:color="auto" w:fill="FFFFFF"/>
      <w:spacing w:line="266" w:lineRule="exact"/>
      <w:ind w:left="756" w:right="1382" w:firstLine="821"/>
      <w:jc w:val="center"/>
      <w:outlineLvl w:val="3"/>
    </w:pPr>
    <w:rPr>
      <w:b/>
      <w:snapToGrid w:val="0"/>
      <w:color w:val="000000"/>
      <w:spacing w:val="-9"/>
      <w:sz w:val="25"/>
      <w:szCs w:val="20"/>
      <w:lang w:val="uk-UA"/>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shd w:val="clear" w:color="auto" w:fill="FFFFFF"/>
      <w:snapToGrid w:val="0"/>
      <w:spacing w:line="360" w:lineRule="auto"/>
      <w:ind w:left="14" w:right="29" w:firstLine="695"/>
      <w:jc w:val="both"/>
    </w:pPr>
    <w:rPr>
      <w:color w:val="000000"/>
      <w:sz w:val="22"/>
      <w:szCs w:val="22"/>
      <w:lang w:val="uk-UA"/>
    </w:rPr>
  </w:style>
  <w:style w:type="paragraph" w:customStyle="1" w:styleId="21">
    <w:name w:val="Основной текст 21"/>
    <w:basedOn w:val="a"/>
    <w:pPr>
      <w:widowControl w:val="0"/>
      <w:spacing w:after="120" w:line="360" w:lineRule="auto"/>
      <w:ind w:firstLine="720"/>
      <w:jc w:val="center"/>
    </w:pPr>
    <w:rPr>
      <w:b/>
      <w:szCs w:val="20"/>
      <w:lang w:val="uk-UA"/>
    </w:rPr>
  </w:style>
  <w:style w:type="paragraph" w:styleId="20">
    <w:name w:val="Body Text Indent 2"/>
    <w:basedOn w:val="a"/>
    <w:semiHidden/>
    <w:pPr>
      <w:spacing w:before="120" w:line="360" w:lineRule="auto"/>
      <w:ind w:firstLine="709"/>
      <w:jc w:val="both"/>
    </w:pPr>
    <w:rPr>
      <w:szCs w:val="20"/>
      <w:lang w:val="uk-UA"/>
    </w:rPr>
  </w:style>
  <w:style w:type="paragraph" w:styleId="a4">
    <w:name w:val="Body Text Indent"/>
    <w:basedOn w:val="a"/>
    <w:semiHidden/>
    <w:pPr>
      <w:spacing w:line="360" w:lineRule="auto"/>
      <w:ind w:firstLine="900"/>
      <w:jc w:val="both"/>
    </w:pPr>
    <w:rPr>
      <w:lang w:val="uk-UA"/>
    </w:rPr>
  </w:style>
  <w:style w:type="paragraph" w:styleId="30">
    <w:name w:val="Body Text Indent 3"/>
    <w:basedOn w:val="a"/>
    <w:semiHidden/>
    <w:pPr>
      <w:widowControl w:val="0"/>
      <w:shd w:val="clear" w:color="auto" w:fill="FFFFFF"/>
      <w:spacing w:line="281" w:lineRule="exact"/>
      <w:ind w:firstLine="709"/>
      <w:jc w:val="both"/>
    </w:pPr>
    <w:rPr>
      <w:snapToGrid w:val="0"/>
      <w:color w:val="000000"/>
      <w:spacing w:val="-7"/>
      <w:sz w:val="25"/>
      <w:szCs w:val="20"/>
      <w:lang w:val="uk-UA"/>
    </w:rPr>
  </w:style>
  <w:style w:type="paragraph" w:styleId="a5">
    <w:name w:val="header"/>
    <w:basedOn w:val="a"/>
    <w:link w:val="a6"/>
    <w:pPr>
      <w:widowControl w:val="0"/>
      <w:tabs>
        <w:tab w:val="center" w:pos="4153"/>
        <w:tab w:val="right" w:pos="8306"/>
      </w:tabs>
    </w:pPr>
    <w:rPr>
      <w:snapToGrid w:val="0"/>
      <w:sz w:val="20"/>
      <w:szCs w:val="20"/>
    </w:rPr>
  </w:style>
  <w:style w:type="character" w:styleId="a7">
    <w:name w:val="page number"/>
    <w:basedOn w:val="a0"/>
    <w:semiHidden/>
  </w:style>
  <w:style w:type="paragraph" w:styleId="a8">
    <w:name w:val="footer"/>
    <w:basedOn w:val="a"/>
    <w:link w:val="a9"/>
    <w:uiPriority w:val="99"/>
    <w:pPr>
      <w:widowControl w:val="0"/>
      <w:tabs>
        <w:tab w:val="center" w:pos="4153"/>
        <w:tab w:val="right" w:pos="8306"/>
      </w:tabs>
    </w:pPr>
    <w:rPr>
      <w:snapToGrid w:val="0"/>
      <w:sz w:val="20"/>
      <w:szCs w:val="20"/>
    </w:rPr>
  </w:style>
  <w:style w:type="paragraph" w:styleId="aa">
    <w:name w:val="caption"/>
    <w:basedOn w:val="a"/>
    <w:qFormat/>
    <w:pPr>
      <w:spacing w:after="120"/>
      <w:jc w:val="center"/>
    </w:pPr>
    <w:rPr>
      <w:szCs w:val="20"/>
      <w:lang w:val="uk-UA"/>
    </w:rPr>
  </w:style>
  <w:style w:type="paragraph" w:styleId="HTML">
    <w:name w:val="HTML Preformatted"/>
    <w:basedOn w:val="a"/>
    <w:link w:val="HTML0"/>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3"/>
      <w:szCs w:val="23"/>
      <w:lang w:val="uk-UA"/>
    </w:rPr>
  </w:style>
  <w:style w:type="paragraph" w:styleId="31">
    <w:name w:val="Body Text 3"/>
    <w:basedOn w:val="a"/>
    <w:semiHidden/>
    <w:pPr>
      <w:spacing w:after="120"/>
    </w:pPr>
    <w:rPr>
      <w:sz w:val="16"/>
      <w:szCs w:val="16"/>
    </w:rPr>
  </w:style>
  <w:style w:type="paragraph" w:styleId="ab">
    <w:name w:val="Body Text"/>
    <w:basedOn w:val="a"/>
    <w:link w:val="ac"/>
    <w:pPr>
      <w:spacing w:after="120"/>
    </w:pPr>
  </w:style>
  <w:style w:type="paragraph" w:styleId="22">
    <w:name w:val="Body Text 2"/>
    <w:basedOn w:val="a"/>
    <w:link w:val="23"/>
    <w:semiHidden/>
    <w:pPr>
      <w:spacing w:after="120" w:line="480" w:lineRule="auto"/>
    </w:pPr>
  </w:style>
  <w:style w:type="paragraph" w:customStyle="1" w:styleId="10">
    <w:name w:val="Стиль1"/>
    <w:basedOn w:val="a"/>
    <w:pPr>
      <w:widowControl w:val="0"/>
      <w:ind w:firstLine="454"/>
      <w:jc w:val="both"/>
    </w:pPr>
    <w:rPr>
      <w:szCs w:val="20"/>
      <w:lang w:val="uk-UA" w:eastAsia="uk-UA"/>
    </w:rPr>
  </w:style>
  <w:style w:type="paragraph" w:styleId="ad">
    <w:name w:val="Balloon Text"/>
    <w:basedOn w:val="a"/>
    <w:semiHidden/>
    <w:rPr>
      <w:rFonts w:ascii="Tahoma" w:hAnsi="Tahoma" w:cs="Tahoma"/>
      <w:sz w:val="16"/>
      <w:szCs w:val="16"/>
    </w:rPr>
  </w:style>
  <w:style w:type="paragraph" w:styleId="ae">
    <w:name w:val="Normal (Web)"/>
    <w:basedOn w:val="a"/>
    <w:semiHidden/>
    <w:pPr>
      <w:spacing w:before="100" w:beforeAutospacing="1" w:after="100" w:afterAutospacing="1"/>
    </w:pPr>
  </w:style>
  <w:style w:type="paragraph" w:customStyle="1" w:styleId="af">
    <w:name w:val="Знак Знак Знак Знак"/>
    <w:basedOn w:val="a"/>
    <w:rPr>
      <w:rFonts w:ascii="Verdana" w:hAnsi="Verdana"/>
      <w:sz w:val="20"/>
      <w:szCs w:val="20"/>
      <w:lang w:val="en-US" w:eastAsia="en-US"/>
    </w:rPr>
  </w:style>
  <w:style w:type="paragraph" w:styleId="af0">
    <w:name w:val="Title"/>
    <w:basedOn w:val="a"/>
    <w:qFormat/>
    <w:pPr>
      <w:shd w:val="clear" w:color="auto" w:fill="FFFFFF"/>
      <w:tabs>
        <w:tab w:val="left" w:pos="709"/>
      </w:tabs>
      <w:spacing w:line="274" w:lineRule="exact"/>
      <w:ind w:firstLine="567"/>
      <w:jc w:val="center"/>
    </w:pPr>
    <w:rPr>
      <w:color w:val="000000"/>
      <w:spacing w:val="-11"/>
      <w:sz w:val="28"/>
      <w:szCs w:val="20"/>
      <w:lang w:val="uk-UA"/>
    </w:rPr>
  </w:style>
  <w:style w:type="character" w:customStyle="1" w:styleId="11">
    <w:name w:val="Знак1"/>
    <w:rPr>
      <w:color w:val="000000"/>
      <w:spacing w:val="-11"/>
      <w:sz w:val="28"/>
      <w:lang w:val="uk-UA" w:eastAsia="ru-RU" w:bidi="ar-SA"/>
    </w:rPr>
  </w:style>
  <w:style w:type="paragraph" w:customStyle="1" w:styleId="af1">
    <w:name w:val="Знак"/>
    <w:basedOn w:val="a"/>
    <w:rPr>
      <w:rFonts w:ascii="Verdana" w:hAnsi="Verdana" w:cs="Verdana"/>
      <w:lang w:val="en-US" w:eastAsia="en-US"/>
    </w:rPr>
  </w:style>
  <w:style w:type="paragraph" w:styleId="af2">
    <w:name w:val="Subtitle"/>
    <w:basedOn w:val="a"/>
    <w:link w:val="af3"/>
    <w:qFormat/>
    <w:pPr>
      <w:jc w:val="center"/>
    </w:pPr>
    <w:rPr>
      <w:b/>
      <w:bCs/>
      <w:sz w:val="32"/>
      <w:u w:val="single"/>
      <w:lang w:val="uk-UA"/>
    </w:rPr>
  </w:style>
  <w:style w:type="character" w:customStyle="1" w:styleId="24">
    <w:name w:val="Заголовок 2 Знак"/>
    <w:semiHidden/>
    <w:rPr>
      <w:rFonts w:ascii="Cambria" w:eastAsia="Times New Roman" w:hAnsi="Cambria" w:cs="Times New Roman"/>
      <w:b/>
      <w:bCs/>
      <w:i/>
      <w:iCs/>
      <w:sz w:val="28"/>
      <w:szCs w:val="28"/>
    </w:rPr>
  </w:style>
  <w:style w:type="paragraph" w:customStyle="1" w:styleId="Default">
    <w:name w:val="Default"/>
    <w:pPr>
      <w:autoSpaceDE w:val="0"/>
      <w:autoSpaceDN w:val="0"/>
      <w:adjustRightInd w:val="0"/>
      <w:jc w:val="both"/>
    </w:pPr>
    <w:rPr>
      <w:rFonts w:eastAsia="Calibri"/>
      <w:color w:val="000000"/>
      <w:sz w:val="24"/>
      <w:szCs w:val="24"/>
      <w:lang w:eastAsia="en-US"/>
    </w:rPr>
  </w:style>
  <w:style w:type="character" w:styleId="af4">
    <w:name w:val="Strong"/>
    <w:qFormat/>
    <w:rPr>
      <w:b/>
      <w:bCs/>
    </w:rPr>
  </w:style>
  <w:style w:type="character" w:customStyle="1" w:styleId="af5">
    <w:name w:val="ДинТекстОбыч Знак"/>
    <w:locked/>
    <w:rPr>
      <w:sz w:val="24"/>
      <w:lang w:val="uk-UA" w:bidi="ar-SA"/>
    </w:rPr>
  </w:style>
  <w:style w:type="paragraph" w:customStyle="1" w:styleId="af6">
    <w:name w:val="ДинТекстОбыч"/>
    <w:basedOn w:val="a"/>
    <w:autoRedefine/>
    <w:pPr>
      <w:ind w:firstLine="720"/>
      <w:jc w:val="both"/>
    </w:pPr>
    <w:rPr>
      <w:szCs w:val="20"/>
      <w:lang w:val="uk-UA"/>
    </w:rPr>
  </w:style>
  <w:style w:type="character" w:customStyle="1" w:styleId="af7">
    <w:name w:val="Основной текст с отступом Знак"/>
    <w:rPr>
      <w:sz w:val="24"/>
      <w:szCs w:val="24"/>
      <w:lang w:val="uk-UA" w:eastAsia="ru-RU" w:bidi="ar-SA"/>
    </w:rPr>
  </w:style>
  <w:style w:type="paragraph" w:customStyle="1" w:styleId="af8">
    <w:basedOn w:val="a"/>
    <w:rPr>
      <w:rFonts w:ascii="Verdana" w:hAnsi="Verdana" w:cs="Verdana"/>
      <w:lang w:val="en-US" w:eastAsia="en-US"/>
    </w:rPr>
  </w:style>
  <w:style w:type="paragraph" w:customStyle="1" w:styleId="bodytext">
    <w:name w:val="bodytext"/>
    <w:basedOn w:val="a"/>
    <w:pPr>
      <w:spacing w:before="100" w:beforeAutospacing="1" w:after="100" w:afterAutospacing="1"/>
    </w:pPr>
  </w:style>
  <w:style w:type="paragraph" w:customStyle="1" w:styleId="210">
    <w:name w:val="Основной текст с отступом 21"/>
    <w:basedOn w:val="a"/>
    <w:pPr>
      <w:ind w:firstLine="720"/>
      <w:jc w:val="both"/>
    </w:pPr>
    <w:rPr>
      <w:rFonts w:ascii="Times New Roman CYR" w:hAnsi="Times New Roman CYR"/>
      <w:b/>
      <w:szCs w:val="20"/>
      <w:lang w:val="uk-UA"/>
    </w:rPr>
  </w:style>
  <w:style w:type="character" w:customStyle="1" w:styleId="25">
    <w:name w:val="Заголовок №2_"/>
    <w:locked/>
    <w:rPr>
      <w:rFonts w:ascii="Tahoma" w:hAnsi="Tahoma" w:cs="Tahoma"/>
      <w:b/>
      <w:bCs/>
      <w:sz w:val="18"/>
      <w:szCs w:val="18"/>
      <w:shd w:val="clear" w:color="auto" w:fill="FFFFFF"/>
    </w:rPr>
  </w:style>
  <w:style w:type="paragraph" w:customStyle="1" w:styleId="26">
    <w:name w:val="Заголовок №2"/>
    <w:basedOn w:val="a"/>
    <w:pPr>
      <w:shd w:val="clear" w:color="auto" w:fill="FFFFFF"/>
      <w:spacing w:before="540" w:after="300" w:line="240" w:lineRule="atLeast"/>
      <w:jc w:val="center"/>
      <w:outlineLvl w:val="1"/>
    </w:pPr>
    <w:rPr>
      <w:rFonts w:ascii="Tahoma" w:hAnsi="Tahoma" w:cs="Tahoma"/>
      <w:b/>
      <w:bCs/>
      <w:sz w:val="18"/>
      <w:szCs w:val="18"/>
    </w:rPr>
  </w:style>
  <w:style w:type="paragraph" w:styleId="af9">
    <w:name w:val="List Paragraph"/>
    <w:basedOn w:val="a"/>
    <w:qFormat/>
    <w:pPr>
      <w:ind w:left="720"/>
      <w:contextualSpacing/>
      <w:jc w:val="both"/>
    </w:pPr>
    <w:rPr>
      <w:rFonts w:ascii="Calibri" w:eastAsia="Calibri" w:hAnsi="Calibri"/>
      <w:sz w:val="22"/>
      <w:szCs w:val="22"/>
      <w:lang w:eastAsia="en-US"/>
    </w:rPr>
  </w:style>
  <w:style w:type="paragraph" w:customStyle="1" w:styleId="12">
    <w:name w:val="Текст1"/>
    <w:basedOn w:val="a"/>
    <w:pPr>
      <w:widowControl w:val="0"/>
      <w:overflowPunct w:val="0"/>
      <w:autoSpaceDE w:val="0"/>
      <w:autoSpaceDN w:val="0"/>
      <w:adjustRightInd w:val="0"/>
      <w:textAlignment w:val="baseline"/>
    </w:pPr>
    <w:rPr>
      <w:rFonts w:ascii="Courier New" w:hAnsi="Courier New"/>
      <w:sz w:val="20"/>
      <w:szCs w:val="20"/>
      <w:lang w:val="uk-UA"/>
    </w:rPr>
  </w:style>
  <w:style w:type="paragraph" w:customStyle="1" w:styleId="13">
    <w:name w:val="Обычный1"/>
    <w:rPr>
      <w:sz w:val="24"/>
    </w:rPr>
  </w:style>
  <w:style w:type="character" w:customStyle="1" w:styleId="FontStyle22">
    <w:name w:val="Font Style22"/>
    <w:rPr>
      <w:rFonts w:ascii="Times New Roman" w:hAnsi="Times New Roman" w:cs="Times New Roman"/>
      <w:sz w:val="22"/>
      <w:szCs w:val="22"/>
    </w:rPr>
  </w:style>
  <w:style w:type="paragraph" w:customStyle="1" w:styleId="211">
    <w:name w:val="Основной текст 21"/>
    <w:basedOn w:val="a"/>
    <w:rsid w:val="00633D8D"/>
    <w:pPr>
      <w:suppressAutoHyphens/>
      <w:jc w:val="center"/>
    </w:pPr>
    <w:rPr>
      <w:smallCaps/>
      <w:sz w:val="28"/>
      <w:szCs w:val="28"/>
      <w:lang w:val="uk-UA" w:eastAsia="ar-SA"/>
    </w:rPr>
  </w:style>
  <w:style w:type="character" w:customStyle="1" w:styleId="ac">
    <w:name w:val="Основной текст Знак"/>
    <w:link w:val="ab"/>
    <w:rsid w:val="00D75CB5"/>
    <w:rPr>
      <w:sz w:val="24"/>
      <w:szCs w:val="24"/>
    </w:rPr>
  </w:style>
  <w:style w:type="paragraph" w:customStyle="1" w:styleId="14">
    <w:name w:val="Абзац списку1"/>
    <w:basedOn w:val="a"/>
    <w:uiPriority w:val="34"/>
    <w:qFormat/>
    <w:rsid w:val="00D75CB5"/>
    <w:pPr>
      <w:ind w:left="720"/>
      <w:contextualSpacing/>
    </w:pPr>
  </w:style>
  <w:style w:type="paragraph" w:customStyle="1" w:styleId="15">
    <w:name w:val="Абзац списка1"/>
    <w:basedOn w:val="a"/>
    <w:rsid w:val="00D75CB5"/>
    <w:pPr>
      <w:ind w:left="720"/>
      <w:jc w:val="both"/>
    </w:pPr>
  </w:style>
  <w:style w:type="character" w:customStyle="1" w:styleId="a6">
    <w:name w:val="Верхний колонтитул Знак"/>
    <w:link w:val="a5"/>
    <w:rsid w:val="00FD60D3"/>
    <w:rPr>
      <w:snapToGrid w:val="0"/>
    </w:rPr>
  </w:style>
  <w:style w:type="character" w:customStyle="1" w:styleId="s9">
    <w:name w:val="s9"/>
    <w:rsid w:val="003D2D07"/>
    <w:rPr>
      <w:rFonts w:ascii="Times New Roman" w:hAnsi="Times New Roman" w:cs="Times New Roman"/>
    </w:rPr>
  </w:style>
  <w:style w:type="character" w:customStyle="1" w:styleId="a9">
    <w:name w:val="Нижний колонтитул Знак"/>
    <w:link w:val="a8"/>
    <w:uiPriority w:val="99"/>
    <w:rsid w:val="00185F7C"/>
    <w:rPr>
      <w:snapToGrid w:val="0"/>
    </w:rPr>
  </w:style>
  <w:style w:type="character" w:customStyle="1" w:styleId="af3">
    <w:name w:val="Подзаголовок Знак"/>
    <w:basedOn w:val="a0"/>
    <w:link w:val="af2"/>
    <w:rsid w:val="005D162A"/>
    <w:rPr>
      <w:b/>
      <w:bCs/>
      <w:sz w:val="32"/>
      <w:szCs w:val="24"/>
      <w:u w:val="single"/>
      <w:lang w:val="uk-UA"/>
    </w:rPr>
  </w:style>
  <w:style w:type="character" w:customStyle="1" w:styleId="HTML0">
    <w:name w:val="Стандартный HTML Знак"/>
    <w:basedOn w:val="a0"/>
    <w:link w:val="HTML"/>
    <w:uiPriority w:val="99"/>
    <w:semiHidden/>
    <w:rsid w:val="00841462"/>
    <w:rPr>
      <w:rFonts w:ascii="Courier New" w:hAnsi="Courier New" w:cs="Courier New"/>
      <w:color w:val="000000"/>
      <w:sz w:val="23"/>
      <w:szCs w:val="23"/>
      <w:lang w:val="uk-UA"/>
    </w:rPr>
  </w:style>
  <w:style w:type="character" w:customStyle="1" w:styleId="FontStyle288">
    <w:name w:val="Font Style288"/>
    <w:basedOn w:val="a0"/>
    <w:uiPriority w:val="99"/>
    <w:rsid w:val="00477A36"/>
    <w:rPr>
      <w:rFonts w:ascii="Times New Roman" w:hAnsi="Times New Roman" w:cs="Times New Roman"/>
      <w:color w:val="000000"/>
      <w:sz w:val="18"/>
      <w:szCs w:val="18"/>
    </w:rPr>
  </w:style>
  <w:style w:type="paragraph" w:styleId="afa">
    <w:name w:val="No Spacing"/>
    <w:link w:val="afb"/>
    <w:uiPriority w:val="99"/>
    <w:qFormat/>
    <w:rsid w:val="009C0AA4"/>
    <w:rPr>
      <w:rFonts w:asciiTheme="minorHAnsi" w:eastAsiaTheme="minorEastAsia" w:hAnsiTheme="minorHAnsi" w:cstheme="minorBidi"/>
      <w:sz w:val="22"/>
      <w:szCs w:val="22"/>
    </w:rPr>
  </w:style>
  <w:style w:type="character" w:customStyle="1" w:styleId="afb">
    <w:name w:val="Без интервала Знак"/>
    <w:basedOn w:val="a0"/>
    <w:link w:val="afa"/>
    <w:uiPriority w:val="1"/>
    <w:rsid w:val="009C0AA4"/>
    <w:rPr>
      <w:rFonts w:asciiTheme="minorHAnsi" w:eastAsiaTheme="minorEastAsia" w:hAnsiTheme="minorHAnsi" w:cstheme="minorBidi"/>
      <w:sz w:val="22"/>
      <w:szCs w:val="22"/>
    </w:rPr>
  </w:style>
  <w:style w:type="table" w:styleId="afc">
    <w:name w:val="Table Grid"/>
    <w:basedOn w:val="a1"/>
    <w:uiPriority w:val="1"/>
    <w:rsid w:val="009C0AA4"/>
    <w:rPr>
      <w:rFonts w:asciiTheme="minorHAnsi" w:eastAsiaTheme="minorEastAsia"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C-paragrahinNotes">
    <w:name w:val="ABC - paragrah in Notes"/>
    <w:link w:val="ABC-paragrahinNotesChar1"/>
    <w:qFormat/>
    <w:rsid w:val="0080322F"/>
    <w:pPr>
      <w:spacing w:after="240"/>
      <w:jc w:val="both"/>
    </w:pPr>
    <w:rPr>
      <w:lang w:val="en-GB" w:eastAsia="en-US"/>
    </w:rPr>
  </w:style>
  <w:style w:type="character" w:customStyle="1" w:styleId="ABC-paragrahinNotesChar1">
    <w:name w:val="ABC - paragrah in Notes Char1"/>
    <w:link w:val="ABC-paragrahinNotes"/>
    <w:rsid w:val="0080322F"/>
    <w:rPr>
      <w:lang w:val="en-GB" w:eastAsia="en-US"/>
    </w:rPr>
  </w:style>
  <w:style w:type="character" w:styleId="afd">
    <w:name w:val="Emphasis"/>
    <w:uiPriority w:val="99"/>
    <w:qFormat/>
    <w:rsid w:val="00F92D8E"/>
    <w:rPr>
      <w:i/>
      <w:iCs/>
    </w:rPr>
  </w:style>
  <w:style w:type="paragraph" w:customStyle="1" w:styleId="220">
    <w:name w:val="Основной текст с отступом 22"/>
    <w:basedOn w:val="a"/>
    <w:rsid w:val="00DD5F85"/>
    <w:pPr>
      <w:ind w:firstLine="720"/>
      <w:jc w:val="both"/>
    </w:pPr>
    <w:rPr>
      <w:rFonts w:ascii="Times New Roman CYR" w:hAnsi="Times New Roman CYR"/>
      <w:b/>
      <w:szCs w:val="20"/>
      <w:lang w:val="uk-UA"/>
    </w:rPr>
  </w:style>
  <w:style w:type="character" w:customStyle="1" w:styleId="23">
    <w:name w:val="Основной текст 2 Знак"/>
    <w:basedOn w:val="a0"/>
    <w:link w:val="22"/>
    <w:semiHidden/>
    <w:rsid w:val="00BB6E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widowControl w:val="0"/>
      <w:shd w:val="clear" w:color="auto" w:fill="FFFFFF"/>
      <w:spacing w:before="7" w:line="266" w:lineRule="exact"/>
      <w:ind w:left="50" w:hanging="50"/>
      <w:jc w:val="both"/>
      <w:outlineLvl w:val="0"/>
    </w:pPr>
    <w:rPr>
      <w:snapToGrid w:val="0"/>
      <w:color w:val="000000"/>
      <w:sz w:val="25"/>
      <w:szCs w:val="20"/>
      <w:lang w:val="uk-UA"/>
    </w:rPr>
  </w:style>
  <w:style w:type="paragraph" w:styleId="2">
    <w:name w:val="heading 2"/>
    <w:basedOn w:val="a"/>
    <w:next w:val="a"/>
    <w:qFormat/>
    <w:pPr>
      <w:keepNext/>
      <w:spacing w:before="240" w:after="60"/>
      <w:outlineLvl w:val="1"/>
    </w:pPr>
    <w:rPr>
      <w:rFonts w:ascii="Cambria" w:hAnsi="Cambria"/>
      <w:b/>
      <w:bCs/>
      <w:i/>
      <w:iCs/>
      <w:sz w:val="28"/>
      <w:szCs w:val="28"/>
    </w:rPr>
  </w:style>
  <w:style w:type="paragraph" w:styleId="3">
    <w:name w:val="heading 3"/>
    <w:basedOn w:val="a"/>
    <w:next w:val="a"/>
    <w:qFormat/>
    <w:pPr>
      <w:keepNext/>
      <w:jc w:val="right"/>
      <w:outlineLvl w:val="2"/>
    </w:pPr>
    <w:rPr>
      <w:i/>
      <w:iCs/>
      <w:lang w:val="uk-UA"/>
    </w:rPr>
  </w:style>
  <w:style w:type="paragraph" w:styleId="4">
    <w:name w:val="heading 4"/>
    <w:basedOn w:val="a"/>
    <w:next w:val="a"/>
    <w:qFormat/>
    <w:pPr>
      <w:keepNext/>
      <w:widowControl w:val="0"/>
      <w:shd w:val="clear" w:color="auto" w:fill="FFFFFF"/>
      <w:spacing w:line="266" w:lineRule="exact"/>
      <w:ind w:left="756" w:right="1382" w:firstLine="821"/>
      <w:jc w:val="center"/>
      <w:outlineLvl w:val="3"/>
    </w:pPr>
    <w:rPr>
      <w:b/>
      <w:snapToGrid w:val="0"/>
      <w:color w:val="000000"/>
      <w:spacing w:val="-9"/>
      <w:sz w:val="25"/>
      <w:szCs w:val="20"/>
      <w:lang w:val="uk-UA"/>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shd w:val="clear" w:color="auto" w:fill="FFFFFF"/>
      <w:snapToGrid w:val="0"/>
      <w:spacing w:line="360" w:lineRule="auto"/>
      <w:ind w:left="14" w:right="29" w:firstLine="695"/>
      <w:jc w:val="both"/>
    </w:pPr>
    <w:rPr>
      <w:color w:val="000000"/>
      <w:sz w:val="22"/>
      <w:szCs w:val="22"/>
      <w:lang w:val="uk-UA"/>
    </w:rPr>
  </w:style>
  <w:style w:type="paragraph" w:customStyle="1" w:styleId="21">
    <w:name w:val="Основной текст 21"/>
    <w:basedOn w:val="a"/>
    <w:pPr>
      <w:widowControl w:val="0"/>
      <w:spacing w:after="120" w:line="360" w:lineRule="auto"/>
      <w:ind w:firstLine="720"/>
      <w:jc w:val="center"/>
    </w:pPr>
    <w:rPr>
      <w:b/>
      <w:szCs w:val="20"/>
      <w:lang w:val="uk-UA"/>
    </w:rPr>
  </w:style>
  <w:style w:type="paragraph" w:styleId="20">
    <w:name w:val="Body Text Indent 2"/>
    <w:basedOn w:val="a"/>
    <w:semiHidden/>
    <w:pPr>
      <w:spacing w:before="120" w:line="360" w:lineRule="auto"/>
      <w:ind w:firstLine="709"/>
      <w:jc w:val="both"/>
    </w:pPr>
    <w:rPr>
      <w:szCs w:val="20"/>
      <w:lang w:val="uk-UA"/>
    </w:rPr>
  </w:style>
  <w:style w:type="paragraph" w:styleId="a4">
    <w:name w:val="Body Text Indent"/>
    <w:basedOn w:val="a"/>
    <w:semiHidden/>
    <w:pPr>
      <w:spacing w:line="360" w:lineRule="auto"/>
      <w:ind w:firstLine="900"/>
      <w:jc w:val="both"/>
    </w:pPr>
    <w:rPr>
      <w:lang w:val="uk-UA"/>
    </w:rPr>
  </w:style>
  <w:style w:type="paragraph" w:styleId="30">
    <w:name w:val="Body Text Indent 3"/>
    <w:basedOn w:val="a"/>
    <w:semiHidden/>
    <w:pPr>
      <w:widowControl w:val="0"/>
      <w:shd w:val="clear" w:color="auto" w:fill="FFFFFF"/>
      <w:spacing w:line="281" w:lineRule="exact"/>
      <w:ind w:firstLine="709"/>
      <w:jc w:val="both"/>
    </w:pPr>
    <w:rPr>
      <w:snapToGrid w:val="0"/>
      <w:color w:val="000000"/>
      <w:spacing w:val="-7"/>
      <w:sz w:val="25"/>
      <w:szCs w:val="20"/>
      <w:lang w:val="uk-UA"/>
    </w:rPr>
  </w:style>
  <w:style w:type="paragraph" w:styleId="a5">
    <w:name w:val="header"/>
    <w:basedOn w:val="a"/>
    <w:link w:val="a6"/>
    <w:pPr>
      <w:widowControl w:val="0"/>
      <w:tabs>
        <w:tab w:val="center" w:pos="4153"/>
        <w:tab w:val="right" w:pos="8306"/>
      </w:tabs>
    </w:pPr>
    <w:rPr>
      <w:snapToGrid w:val="0"/>
      <w:sz w:val="20"/>
      <w:szCs w:val="20"/>
    </w:rPr>
  </w:style>
  <w:style w:type="character" w:styleId="a7">
    <w:name w:val="page number"/>
    <w:basedOn w:val="a0"/>
    <w:semiHidden/>
  </w:style>
  <w:style w:type="paragraph" w:styleId="a8">
    <w:name w:val="footer"/>
    <w:basedOn w:val="a"/>
    <w:link w:val="a9"/>
    <w:uiPriority w:val="99"/>
    <w:pPr>
      <w:widowControl w:val="0"/>
      <w:tabs>
        <w:tab w:val="center" w:pos="4153"/>
        <w:tab w:val="right" w:pos="8306"/>
      </w:tabs>
    </w:pPr>
    <w:rPr>
      <w:snapToGrid w:val="0"/>
      <w:sz w:val="20"/>
      <w:szCs w:val="20"/>
    </w:rPr>
  </w:style>
  <w:style w:type="paragraph" w:styleId="aa">
    <w:name w:val="caption"/>
    <w:basedOn w:val="a"/>
    <w:qFormat/>
    <w:pPr>
      <w:spacing w:after="120"/>
      <w:jc w:val="center"/>
    </w:pPr>
    <w:rPr>
      <w:szCs w:val="20"/>
      <w:lang w:val="uk-UA"/>
    </w:rPr>
  </w:style>
  <w:style w:type="paragraph" w:styleId="HTML">
    <w:name w:val="HTML Preformatted"/>
    <w:basedOn w:val="a"/>
    <w:link w:val="HTML0"/>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3"/>
      <w:szCs w:val="23"/>
      <w:lang w:val="uk-UA"/>
    </w:rPr>
  </w:style>
  <w:style w:type="paragraph" w:styleId="31">
    <w:name w:val="Body Text 3"/>
    <w:basedOn w:val="a"/>
    <w:semiHidden/>
    <w:pPr>
      <w:spacing w:after="120"/>
    </w:pPr>
    <w:rPr>
      <w:sz w:val="16"/>
      <w:szCs w:val="16"/>
    </w:rPr>
  </w:style>
  <w:style w:type="paragraph" w:styleId="ab">
    <w:name w:val="Body Text"/>
    <w:basedOn w:val="a"/>
    <w:link w:val="ac"/>
    <w:pPr>
      <w:spacing w:after="120"/>
    </w:pPr>
  </w:style>
  <w:style w:type="paragraph" w:styleId="22">
    <w:name w:val="Body Text 2"/>
    <w:basedOn w:val="a"/>
    <w:link w:val="23"/>
    <w:semiHidden/>
    <w:pPr>
      <w:spacing w:after="120" w:line="480" w:lineRule="auto"/>
    </w:pPr>
  </w:style>
  <w:style w:type="paragraph" w:customStyle="1" w:styleId="10">
    <w:name w:val="Стиль1"/>
    <w:basedOn w:val="a"/>
    <w:pPr>
      <w:widowControl w:val="0"/>
      <w:ind w:firstLine="454"/>
      <w:jc w:val="both"/>
    </w:pPr>
    <w:rPr>
      <w:szCs w:val="20"/>
      <w:lang w:val="uk-UA" w:eastAsia="uk-UA"/>
    </w:rPr>
  </w:style>
  <w:style w:type="paragraph" w:styleId="ad">
    <w:name w:val="Balloon Text"/>
    <w:basedOn w:val="a"/>
    <w:semiHidden/>
    <w:rPr>
      <w:rFonts w:ascii="Tahoma" w:hAnsi="Tahoma" w:cs="Tahoma"/>
      <w:sz w:val="16"/>
      <w:szCs w:val="16"/>
    </w:rPr>
  </w:style>
  <w:style w:type="paragraph" w:styleId="ae">
    <w:name w:val="Normal (Web)"/>
    <w:basedOn w:val="a"/>
    <w:semiHidden/>
    <w:pPr>
      <w:spacing w:before="100" w:beforeAutospacing="1" w:after="100" w:afterAutospacing="1"/>
    </w:pPr>
  </w:style>
  <w:style w:type="paragraph" w:customStyle="1" w:styleId="af">
    <w:name w:val="Знак Знак Знак Знак"/>
    <w:basedOn w:val="a"/>
    <w:rPr>
      <w:rFonts w:ascii="Verdana" w:hAnsi="Verdana"/>
      <w:sz w:val="20"/>
      <w:szCs w:val="20"/>
      <w:lang w:val="en-US" w:eastAsia="en-US"/>
    </w:rPr>
  </w:style>
  <w:style w:type="paragraph" w:styleId="af0">
    <w:name w:val="Title"/>
    <w:basedOn w:val="a"/>
    <w:qFormat/>
    <w:pPr>
      <w:shd w:val="clear" w:color="auto" w:fill="FFFFFF"/>
      <w:tabs>
        <w:tab w:val="left" w:pos="709"/>
      </w:tabs>
      <w:spacing w:line="274" w:lineRule="exact"/>
      <w:ind w:firstLine="567"/>
      <w:jc w:val="center"/>
    </w:pPr>
    <w:rPr>
      <w:color w:val="000000"/>
      <w:spacing w:val="-11"/>
      <w:sz w:val="28"/>
      <w:szCs w:val="20"/>
      <w:lang w:val="uk-UA"/>
    </w:rPr>
  </w:style>
  <w:style w:type="character" w:customStyle="1" w:styleId="11">
    <w:name w:val="Знак1"/>
    <w:rPr>
      <w:color w:val="000000"/>
      <w:spacing w:val="-11"/>
      <w:sz w:val="28"/>
      <w:lang w:val="uk-UA" w:eastAsia="ru-RU" w:bidi="ar-SA"/>
    </w:rPr>
  </w:style>
  <w:style w:type="paragraph" w:customStyle="1" w:styleId="af1">
    <w:name w:val="Знак"/>
    <w:basedOn w:val="a"/>
    <w:rPr>
      <w:rFonts w:ascii="Verdana" w:hAnsi="Verdana" w:cs="Verdana"/>
      <w:lang w:val="en-US" w:eastAsia="en-US"/>
    </w:rPr>
  </w:style>
  <w:style w:type="paragraph" w:styleId="af2">
    <w:name w:val="Subtitle"/>
    <w:basedOn w:val="a"/>
    <w:link w:val="af3"/>
    <w:qFormat/>
    <w:pPr>
      <w:jc w:val="center"/>
    </w:pPr>
    <w:rPr>
      <w:b/>
      <w:bCs/>
      <w:sz w:val="32"/>
      <w:u w:val="single"/>
      <w:lang w:val="uk-UA"/>
    </w:rPr>
  </w:style>
  <w:style w:type="character" w:customStyle="1" w:styleId="24">
    <w:name w:val="Заголовок 2 Знак"/>
    <w:semiHidden/>
    <w:rPr>
      <w:rFonts w:ascii="Cambria" w:eastAsia="Times New Roman" w:hAnsi="Cambria" w:cs="Times New Roman"/>
      <w:b/>
      <w:bCs/>
      <w:i/>
      <w:iCs/>
      <w:sz w:val="28"/>
      <w:szCs w:val="28"/>
    </w:rPr>
  </w:style>
  <w:style w:type="paragraph" w:customStyle="1" w:styleId="Default">
    <w:name w:val="Default"/>
    <w:pPr>
      <w:autoSpaceDE w:val="0"/>
      <w:autoSpaceDN w:val="0"/>
      <w:adjustRightInd w:val="0"/>
      <w:jc w:val="both"/>
    </w:pPr>
    <w:rPr>
      <w:rFonts w:eastAsia="Calibri"/>
      <w:color w:val="000000"/>
      <w:sz w:val="24"/>
      <w:szCs w:val="24"/>
      <w:lang w:eastAsia="en-US"/>
    </w:rPr>
  </w:style>
  <w:style w:type="character" w:styleId="af4">
    <w:name w:val="Strong"/>
    <w:qFormat/>
    <w:rPr>
      <w:b/>
      <w:bCs/>
    </w:rPr>
  </w:style>
  <w:style w:type="character" w:customStyle="1" w:styleId="af5">
    <w:name w:val="ДинТекстОбыч Знак"/>
    <w:locked/>
    <w:rPr>
      <w:sz w:val="24"/>
      <w:lang w:val="uk-UA" w:bidi="ar-SA"/>
    </w:rPr>
  </w:style>
  <w:style w:type="paragraph" w:customStyle="1" w:styleId="af6">
    <w:name w:val="ДинТекстОбыч"/>
    <w:basedOn w:val="a"/>
    <w:autoRedefine/>
    <w:pPr>
      <w:ind w:firstLine="720"/>
      <w:jc w:val="both"/>
    </w:pPr>
    <w:rPr>
      <w:szCs w:val="20"/>
      <w:lang w:val="uk-UA"/>
    </w:rPr>
  </w:style>
  <w:style w:type="character" w:customStyle="1" w:styleId="af7">
    <w:name w:val="Основной текст с отступом Знак"/>
    <w:rPr>
      <w:sz w:val="24"/>
      <w:szCs w:val="24"/>
      <w:lang w:val="uk-UA" w:eastAsia="ru-RU" w:bidi="ar-SA"/>
    </w:rPr>
  </w:style>
  <w:style w:type="paragraph" w:customStyle="1" w:styleId="af8">
    <w:basedOn w:val="a"/>
    <w:rPr>
      <w:rFonts w:ascii="Verdana" w:hAnsi="Verdana" w:cs="Verdana"/>
      <w:lang w:val="en-US" w:eastAsia="en-US"/>
    </w:rPr>
  </w:style>
  <w:style w:type="paragraph" w:customStyle="1" w:styleId="bodytext">
    <w:name w:val="bodytext"/>
    <w:basedOn w:val="a"/>
    <w:pPr>
      <w:spacing w:before="100" w:beforeAutospacing="1" w:after="100" w:afterAutospacing="1"/>
    </w:pPr>
  </w:style>
  <w:style w:type="paragraph" w:customStyle="1" w:styleId="210">
    <w:name w:val="Основной текст с отступом 21"/>
    <w:basedOn w:val="a"/>
    <w:pPr>
      <w:ind w:firstLine="720"/>
      <w:jc w:val="both"/>
    </w:pPr>
    <w:rPr>
      <w:rFonts w:ascii="Times New Roman CYR" w:hAnsi="Times New Roman CYR"/>
      <w:b/>
      <w:szCs w:val="20"/>
      <w:lang w:val="uk-UA"/>
    </w:rPr>
  </w:style>
  <w:style w:type="character" w:customStyle="1" w:styleId="25">
    <w:name w:val="Заголовок №2_"/>
    <w:locked/>
    <w:rPr>
      <w:rFonts w:ascii="Tahoma" w:hAnsi="Tahoma" w:cs="Tahoma"/>
      <w:b/>
      <w:bCs/>
      <w:sz w:val="18"/>
      <w:szCs w:val="18"/>
      <w:shd w:val="clear" w:color="auto" w:fill="FFFFFF"/>
    </w:rPr>
  </w:style>
  <w:style w:type="paragraph" w:customStyle="1" w:styleId="26">
    <w:name w:val="Заголовок №2"/>
    <w:basedOn w:val="a"/>
    <w:pPr>
      <w:shd w:val="clear" w:color="auto" w:fill="FFFFFF"/>
      <w:spacing w:before="540" w:after="300" w:line="240" w:lineRule="atLeast"/>
      <w:jc w:val="center"/>
      <w:outlineLvl w:val="1"/>
    </w:pPr>
    <w:rPr>
      <w:rFonts w:ascii="Tahoma" w:hAnsi="Tahoma" w:cs="Tahoma"/>
      <w:b/>
      <w:bCs/>
      <w:sz w:val="18"/>
      <w:szCs w:val="18"/>
    </w:rPr>
  </w:style>
  <w:style w:type="paragraph" w:styleId="af9">
    <w:name w:val="List Paragraph"/>
    <w:basedOn w:val="a"/>
    <w:qFormat/>
    <w:pPr>
      <w:ind w:left="720"/>
      <w:contextualSpacing/>
      <w:jc w:val="both"/>
    </w:pPr>
    <w:rPr>
      <w:rFonts w:ascii="Calibri" w:eastAsia="Calibri" w:hAnsi="Calibri"/>
      <w:sz w:val="22"/>
      <w:szCs w:val="22"/>
      <w:lang w:eastAsia="en-US"/>
    </w:rPr>
  </w:style>
  <w:style w:type="paragraph" w:customStyle="1" w:styleId="12">
    <w:name w:val="Текст1"/>
    <w:basedOn w:val="a"/>
    <w:pPr>
      <w:widowControl w:val="0"/>
      <w:overflowPunct w:val="0"/>
      <w:autoSpaceDE w:val="0"/>
      <w:autoSpaceDN w:val="0"/>
      <w:adjustRightInd w:val="0"/>
      <w:textAlignment w:val="baseline"/>
    </w:pPr>
    <w:rPr>
      <w:rFonts w:ascii="Courier New" w:hAnsi="Courier New"/>
      <w:sz w:val="20"/>
      <w:szCs w:val="20"/>
      <w:lang w:val="uk-UA"/>
    </w:rPr>
  </w:style>
  <w:style w:type="paragraph" w:customStyle="1" w:styleId="13">
    <w:name w:val="Обычный1"/>
    <w:rPr>
      <w:sz w:val="24"/>
    </w:rPr>
  </w:style>
  <w:style w:type="character" w:customStyle="1" w:styleId="FontStyle22">
    <w:name w:val="Font Style22"/>
    <w:rPr>
      <w:rFonts w:ascii="Times New Roman" w:hAnsi="Times New Roman" w:cs="Times New Roman"/>
      <w:sz w:val="22"/>
      <w:szCs w:val="22"/>
    </w:rPr>
  </w:style>
  <w:style w:type="paragraph" w:customStyle="1" w:styleId="211">
    <w:name w:val="Основной текст 21"/>
    <w:basedOn w:val="a"/>
    <w:rsid w:val="00633D8D"/>
    <w:pPr>
      <w:suppressAutoHyphens/>
      <w:jc w:val="center"/>
    </w:pPr>
    <w:rPr>
      <w:smallCaps/>
      <w:sz w:val="28"/>
      <w:szCs w:val="28"/>
      <w:lang w:val="uk-UA" w:eastAsia="ar-SA"/>
    </w:rPr>
  </w:style>
  <w:style w:type="character" w:customStyle="1" w:styleId="ac">
    <w:name w:val="Основной текст Знак"/>
    <w:link w:val="ab"/>
    <w:rsid w:val="00D75CB5"/>
    <w:rPr>
      <w:sz w:val="24"/>
      <w:szCs w:val="24"/>
    </w:rPr>
  </w:style>
  <w:style w:type="paragraph" w:customStyle="1" w:styleId="14">
    <w:name w:val="Абзац списку1"/>
    <w:basedOn w:val="a"/>
    <w:uiPriority w:val="34"/>
    <w:qFormat/>
    <w:rsid w:val="00D75CB5"/>
    <w:pPr>
      <w:ind w:left="720"/>
      <w:contextualSpacing/>
    </w:pPr>
  </w:style>
  <w:style w:type="paragraph" w:customStyle="1" w:styleId="15">
    <w:name w:val="Абзац списка1"/>
    <w:basedOn w:val="a"/>
    <w:rsid w:val="00D75CB5"/>
    <w:pPr>
      <w:ind w:left="720"/>
      <w:jc w:val="both"/>
    </w:pPr>
  </w:style>
  <w:style w:type="character" w:customStyle="1" w:styleId="a6">
    <w:name w:val="Верхний колонтитул Знак"/>
    <w:link w:val="a5"/>
    <w:rsid w:val="00FD60D3"/>
    <w:rPr>
      <w:snapToGrid w:val="0"/>
    </w:rPr>
  </w:style>
  <w:style w:type="character" w:customStyle="1" w:styleId="s9">
    <w:name w:val="s9"/>
    <w:rsid w:val="003D2D07"/>
    <w:rPr>
      <w:rFonts w:ascii="Times New Roman" w:hAnsi="Times New Roman" w:cs="Times New Roman"/>
    </w:rPr>
  </w:style>
  <w:style w:type="character" w:customStyle="1" w:styleId="a9">
    <w:name w:val="Нижний колонтитул Знак"/>
    <w:link w:val="a8"/>
    <w:uiPriority w:val="99"/>
    <w:rsid w:val="00185F7C"/>
    <w:rPr>
      <w:snapToGrid w:val="0"/>
    </w:rPr>
  </w:style>
  <w:style w:type="character" w:customStyle="1" w:styleId="af3">
    <w:name w:val="Подзаголовок Знак"/>
    <w:basedOn w:val="a0"/>
    <w:link w:val="af2"/>
    <w:rsid w:val="005D162A"/>
    <w:rPr>
      <w:b/>
      <w:bCs/>
      <w:sz w:val="32"/>
      <w:szCs w:val="24"/>
      <w:u w:val="single"/>
      <w:lang w:val="uk-UA"/>
    </w:rPr>
  </w:style>
  <w:style w:type="character" w:customStyle="1" w:styleId="HTML0">
    <w:name w:val="Стандартный HTML Знак"/>
    <w:basedOn w:val="a0"/>
    <w:link w:val="HTML"/>
    <w:uiPriority w:val="99"/>
    <w:semiHidden/>
    <w:rsid w:val="00841462"/>
    <w:rPr>
      <w:rFonts w:ascii="Courier New" w:hAnsi="Courier New" w:cs="Courier New"/>
      <w:color w:val="000000"/>
      <w:sz w:val="23"/>
      <w:szCs w:val="23"/>
      <w:lang w:val="uk-UA"/>
    </w:rPr>
  </w:style>
  <w:style w:type="character" w:customStyle="1" w:styleId="FontStyle288">
    <w:name w:val="Font Style288"/>
    <w:basedOn w:val="a0"/>
    <w:uiPriority w:val="99"/>
    <w:rsid w:val="00477A36"/>
    <w:rPr>
      <w:rFonts w:ascii="Times New Roman" w:hAnsi="Times New Roman" w:cs="Times New Roman"/>
      <w:color w:val="000000"/>
      <w:sz w:val="18"/>
      <w:szCs w:val="18"/>
    </w:rPr>
  </w:style>
  <w:style w:type="paragraph" w:styleId="afa">
    <w:name w:val="No Spacing"/>
    <w:link w:val="afb"/>
    <w:uiPriority w:val="99"/>
    <w:qFormat/>
    <w:rsid w:val="009C0AA4"/>
    <w:rPr>
      <w:rFonts w:asciiTheme="minorHAnsi" w:eastAsiaTheme="minorEastAsia" w:hAnsiTheme="minorHAnsi" w:cstheme="minorBidi"/>
      <w:sz w:val="22"/>
      <w:szCs w:val="22"/>
    </w:rPr>
  </w:style>
  <w:style w:type="character" w:customStyle="1" w:styleId="afb">
    <w:name w:val="Без интервала Знак"/>
    <w:basedOn w:val="a0"/>
    <w:link w:val="afa"/>
    <w:uiPriority w:val="1"/>
    <w:rsid w:val="009C0AA4"/>
    <w:rPr>
      <w:rFonts w:asciiTheme="minorHAnsi" w:eastAsiaTheme="minorEastAsia" w:hAnsiTheme="minorHAnsi" w:cstheme="minorBidi"/>
      <w:sz w:val="22"/>
      <w:szCs w:val="22"/>
    </w:rPr>
  </w:style>
  <w:style w:type="table" w:styleId="afc">
    <w:name w:val="Table Grid"/>
    <w:basedOn w:val="a1"/>
    <w:uiPriority w:val="1"/>
    <w:rsid w:val="009C0AA4"/>
    <w:rPr>
      <w:rFonts w:asciiTheme="minorHAnsi" w:eastAsiaTheme="minorEastAsia"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C-paragrahinNotes">
    <w:name w:val="ABC - paragrah in Notes"/>
    <w:link w:val="ABC-paragrahinNotesChar1"/>
    <w:qFormat/>
    <w:rsid w:val="0080322F"/>
    <w:pPr>
      <w:spacing w:after="240"/>
      <w:jc w:val="both"/>
    </w:pPr>
    <w:rPr>
      <w:lang w:val="en-GB" w:eastAsia="en-US"/>
    </w:rPr>
  </w:style>
  <w:style w:type="character" w:customStyle="1" w:styleId="ABC-paragrahinNotesChar1">
    <w:name w:val="ABC - paragrah in Notes Char1"/>
    <w:link w:val="ABC-paragrahinNotes"/>
    <w:rsid w:val="0080322F"/>
    <w:rPr>
      <w:lang w:val="en-GB" w:eastAsia="en-US"/>
    </w:rPr>
  </w:style>
  <w:style w:type="character" w:styleId="afd">
    <w:name w:val="Emphasis"/>
    <w:uiPriority w:val="99"/>
    <w:qFormat/>
    <w:rsid w:val="00F92D8E"/>
    <w:rPr>
      <w:i/>
      <w:iCs/>
    </w:rPr>
  </w:style>
  <w:style w:type="paragraph" w:customStyle="1" w:styleId="220">
    <w:name w:val="Основной текст с отступом 22"/>
    <w:basedOn w:val="a"/>
    <w:rsid w:val="00DD5F85"/>
    <w:pPr>
      <w:ind w:firstLine="720"/>
      <w:jc w:val="both"/>
    </w:pPr>
    <w:rPr>
      <w:rFonts w:ascii="Times New Roman CYR" w:hAnsi="Times New Roman CYR"/>
      <w:b/>
      <w:szCs w:val="20"/>
      <w:lang w:val="uk-UA"/>
    </w:rPr>
  </w:style>
  <w:style w:type="character" w:customStyle="1" w:styleId="23">
    <w:name w:val="Основной текст 2 Знак"/>
    <w:basedOn w:val="a0"/>
    <w:link w:val="22"/>
    <w:semiHidden/>
    <w:rsid w:val="00BB6E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501274">
      <w:bodyDiv w:val="1"/>
      <w:marLeft w:val="0"/>
      <w:marRight w:val="0"/>
      <w:marTop w:val="0"/>
      <w:marBottom w:val="0"/>
      <w:divBdr>
        <w:top w:val="none" w:sz="0" w:space="0" w:color="auto"/>
        <w:left w:val="none" w:sz="0" w:space="0" w:color="auto"/>
        <w:bottom w:val="none" w:sz="0" w:space="0" w:color="auto"/>
        <w:right w:val="none" w:sz="0" w:space="0" w:color="auto"/>
      </w:divBdr>
    </w:div>
    <w:div w:id="194610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E0060-B92A-4C0E-B9F6-633CD53C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5942</Words>
  <Characters>33876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АУДИТОРСЬКИЙ ВИСНОВОК</vt:lpstr>
    </vt:vector>
  </TitlesOfParts>
  <Company>a</Company>
  <LinksUpToDate>false</LinksUpToDate>
  <CharactersWithSpaces>39739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АУДИТОРСЬКИЙ ВИСНОВОК</dc:title>
  <dc:creator>a</dc:creator>
  <cp:lastModifiedBy>Галина Жмурко</cp:lastModifiedBy>
  <cp:revision>3</cp:revision>
  <cp:lastPrinted>2017-03-27T18:22:00Z</cp:lastPrinted>
  <dcterms:created xsi:type="dcterms:W3CDTF">2017-04-26T11:11:00Z</dcterms:created>
  <dcterms:modified xsi:type="dcterms:W3CDTF">2017-04-26T11:14:00Z</dcterms:modified>
</cp:coreProperties>
</file>